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D860" w14:textId="77777777" w:rsidR="00BA76B8" w:rsidRDefault="00BA76B8" w:rsidP="00BA76B8">
      <w:pPr>
        <w:pStyle w:val="ParagraphHeading"/>
      </w:pPr>
      <w:r>
        <w:t xml:space="preserve">AD COPY FOR AD TO RUN IN </w:t>
      </w:r>
      <w:r w:rsidR="00D36FBF">
        <w:br/>
      </w:r>
      <w:r>
        <w:t>LOCAL PUBLICATIONS</w:t>
      </w:r>
    </w:p>
    <w:p w14:paraId="2F76D861" w14:textId="77777777" w:rsidR="00BA76B8" w:rsidRDefault="00BA76B8" w:rsidP="00BA76B8">
      <w:r w:rsidRPr="00857D39">
        <w:rPr>
          <w:noProof/>
        </w:rPr>
        <w:drawing>
          <wp:inline distT="0" distB="0" distL="0" distR="0" wp14:anchorId="2F76D872" wp14:editId="2F76D873">
            <wp:extent cx="2481580" cy="2681605"/>
            <wp:effectExtent l="0" t="0" r="0" b="4445"/>
            <wp:docPr id="1" name="Picture 1" descr="C:\Documents and Settings\Bruce Bender\Local Settings\Temporary Internet Files\Content.Word\GA DFI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ruce Bender\Local Settings\Temporary Internet Files\Content.Word\GA DFIR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0" cy="2681605"/>
                    </a:xfrm>
                    <a:prstGeom prst="rect">
                      <a:avLst/>
                    </a:prstGeom>
                    <a:noFill/>
                    <a:ln>
                      <a:noFill/>
                    </a:ln>
                  </pic:spPr>
                </pic:pic>
              </a:graphicData>
            </a:graphic>
          </wp:inline>
        </w:drawing>
      </w:r>
    </w:p>
    <w:p w14:paraId="2F76D862" w14:textId="77777777" w:rsidR="006864A2" w:rsidRPr="006864A2" w:rsidRDefault="006864A2" w:rsidP="00BA76B8">
      <w:pPr>
        <w:rPr>
          <w:rStyle w:val="CustomizableText"/>
        </w:rPr>
      </w:pPr>
      <w:r>
        <w:rPr>
          <w:rStyle w:val="CustomizableText"/>
        </w:rPr>
        <w:t>[</w:t>
      </w:r>
      <w:r w:rsidRPr="006864A2">
        <w:rPr>
          <w:rStyle w:val="CustomizableText"/>
        </w:rPr>
        <w:t>Include an image in your ad like the example above.</w:t>
      </w:r>
      <w:r>
        <w:rPr>
          <w:rStyle w:val="CustomizableText"/>
        </w:rPr>
        <w:t>]</w:t>
      </w:r>
    </w:p>
    <w:p w14:paraId="2F76D863" w14:textId="77777777" w:rsidR="00BA76B8" w:rsidRDefault="00BA76B8" w:rsidP="00BA76B8">
      <w:pPr>
        <w:pStyle w:val="ParagraphHeadingLevel2"/>
      </w:pPr>
      <w:r>
        <w:t>Visual</w:t>
      </w:r>
    </w:p>
    <w:p w14:paraId="2F76D864" w14:textId="77777777" w:rsidR="00BA76B8" w:rsidRDefault="00BA76B8" w:rsidP="00BA76B8">
      <w:pPr>
        <w:pStyle w:val="Bullets"/>
      </w:pPr>
      <w:r>
        <w:t>Sample flood hazard map, 50% transparency, used as background for headlines.</w:t>
      </w:r>
    </w:p>
    <w:p w14:paraId="2F76D865" w14:textId="77777777" w:rsidR="00BA76B8" w:rsidRDefault="00BA76B8" w:rsidP="00BA76B8">
      <w:pPr>
        <w:pStyle w:val="ParagraphHeadingLevel2"/>
      </w:pPr>
      <w:r>
        <w:t>Headlines</w:t>
      </w:r>
    </w:p>
    <w:p w14:paraId="2F76D866" w14:textId="77777777" w:rsidR="00BA76B8" w:rsidRDefault="00BA76B8" w:rsidP="00BA76B8">
      <w:pPr>
        <w:pStyle w:val="Bullets"/>
      </w:pPr>
      <w:r>
        <w:t xml:space="preserve">New Flood Hazard Maps for </w:t>
      </w:r>
      <w:r w:rsidR="00C1464B">
        <w:rPr>
          <w:rStyle w:val="CustomizableText"/>
        </w:rPr>
        <w:t>[Name of County/C</w:t>
      </w:r>
      <w:r w:rsidRPr="0086075A">
        <w:rPr>
          <w:rStyle w:val="CustomizableText"/>
        </w:rPr>
        <w:t>ommunity]</w:t>
      </w:r>
      <w:r w:rsidRPr="00C1464B">
        <w:t>.</w:t>
      </w:r>
    </w:p>
    <w:p w14:paraId="2F76D867" w14:textId="77777777" w:rsidR="00BA76B8" w:rsidRDefault="00BA76B8" w:rsidP="00BA76B8">
      <w:pPr>
        <w:pStyle w:val="Bullets"/>
      </w:pPr>
      <w:r>
        <w:t xml:space="preserve">Learn </w:t>
      </w:r>
      <w:r w:rsidRPr="0086075A">
        <w:rPr>
          <w:b/>
        </w:rPr>
        <w:t>your</w:t>
      </w:r>
      <w:r>
        <w:t xml:space="preserve"> current flood risk at an upcoming Open House.</w:t>
      </w:r>
    </w:p>
    <w:p w14:paraId="2F76D868" w14:textId="77777777" w:rsidR="00BA76B8" w:rsidRDefault="00BA76B8" w:rsidP="00BA76B8">
      <w:pPr>
        <w:pStyle w:val="ParagraphHeadingLevel2"/>
      </w:pPr>
      <w:r>
        <w:t>Body Copy</w:t>
      </w:r>
    </w:p>
    <w:p w14:paraId="2F76D869" w14:textId="77777777" w:rsidR="00BA76B8" w:rsidRDefault="00BA76B8" w:rsidP="00BA76B8">
      <w:pPr>
        <w:pStyle w:val="BulletHeadingParagraph"/>
      </w:pPr>
      <w:r w:rsidRPr="0086075A">
        <w:rPr>
          <w:rStyle w:val="CustomizableText"/>
        </w:rPr>
        <w:t>[Name of County’s/Community’s]</w:t>
      </w:r>
      <w:r>
        <w:t xml:space="preserve"> flood risk information has been revised and updated flood hazard maps are now ready for review. You can view the new preliminary maps to see how your flood risk may have changed, learn how they can affect building and flood insurance requirements and find out what your options are at the following Open House</w:t>
      </w:r>
      <w:r w:rsidRPr="0086075A">
        <w:rPr>
          <w:rStyle w:val="CustomizableText"/>
        </w:rPr>
        <w:t>[s]</w:t>
      </w:r>
      <w:r>
        <w:t>:</w:t>
      </w:r>
    </w:p>
    <w:p w14:paraId="2F76D86A" w14:textId="77777777" w:rsidR="00BA76B8" w:rsidRDefault="00BA76B8" w:rsidP="00BA76B8">
      <w:pPr>
        <w:pStyle w:val="Bullets"/>
      </w:pPr>
      <w:r>
        <w:t>Date, time, and location.</w:t>
      </w:r>
    </w:p>
    <w:p w14:paraId="2F76D86B" w14:textId="77777777" w:rsidR="00BA76B8" w:rsidRPr="0093718F" w:rsidRDefault="00BA76B8" w:rsidP="00BA76B8">
      <w:pPr>
        <w:pStyle w:val="Bullets"/>
        <w:rPr>
          <w:rStyle w:val="CustomizableText"/>
        </w:rPr>
      </w:pPr>
      <w:r>
        <w:rPr>
          <w:rStyle w:val="CustomizableText"/>
        </w:rPr>
        <w:t>[I</w:t>
      </w:r>
      <w:r w:rsidRPr="0093718F">
        <w:rPr>
          <w:rStyle w:val="CustomizableText"/>
        </w:rPr>
        <w:t>nsert schedule]</w:t>
      </w:r>
      <w:r w:rsidRPr="002D0D20">
        <w:t>.</w:t>
      </w:r>
    </w:p>
    <w:p w14:paraId="2F76D86C" w14:textId="77777777" w:rsidR="00BA76B8" w:rsidRDefault="00BA76B8" w:rsidP="00BA76B8">
      <w:pPr>
        <w:pStyle w:val="Bullets"/>
      </w:pPr>
      <w:r w:rsidRPr="0093718F">
        <w:rPr>
          <w:rStyle w:val="CustomizableText"/>
        </w:rPr>
        <w:t xml:space="preserve">[County name] </w:t>
      </w:r>
      <w:r>
        <w:t xml:space="preserve">and </w:t>
      </w:r>
      <w:r w:rsidRPr="0093718F">
        <w:rPr>
          <w:rStyle w:val="CustomizableText"/>
        </w:rPr>
        <w:t xml:space="preserve">[community name] </w:t>
      </w:r>
      <w:r>
        <w:t xml:space="preserve">officials along with representatives from the Georgia Department of Natural Resources </w:t>
      </w:r>
      <w:r w:rsidRPr="0093718F">
        <w:rPr>
          <w:rStyle w:val="CustomizableText"/>
        </w:rPr>
        <w:t>[and FEMA]</w:t>
      </w:r>
      <w:r>
        <w:t xml:space="preserve"> will be on hand to answer questions.</w:t>
      </w:r>
    </w:p>
    <w:p w14:paraId="2F76D86D" w14:textId="77777777" w:rsidR="00BA76B8" w:rsidRDefault="00BA76B8" w:rsidP="00BA76B8">
      <w:pPr>
        <w:pStyle w:val="Bullets"/>
      </w:pPr>
      <w:r>
        <w:t xml:space="preserve">The maps will also be on display at </w:t>
      </w:r>
      <w:r w:rsidRPr="0093718F">
        <w:rPr>
          <w:rStyle w:val="CustomizableText"/>
        </w:rPr>
        <w:t>[location]</w:t>
      </w:r>
      <w:r>
        <w:t xml:space="preserve"> starting </w:t>
      </w:r>
      <w:r w:rsidRPr="0093718F">
        <w:rPr>
          <w:rStyle w:val="CustomizableText"/>
        </w:rPr>
        <w:t>[date]</w:t>
      </w:r>
      <w:r>
        <w:t xml:space="preserve">. For more information visit </w:t>
      </w:r>
      <w:r w:rsidRPr="0093718F">
        <w:rPr>
          <w:rStyle w:val="CustomizableText"/>
        </w:rPr>
        <w:t>[URL]</w:t>
      </w:r>
      <w:r w:rsidRPr="0093718F">
        <w:t>.</w:t>
      </w:r>
    </w:p>
    <w:p w14:paraId="2F76D86E" w14:textId="77777777" w:rsidR="00BA76B8" w:rsidRDefault="00BA76B8" w:rsidP="00BA76B8">
      <w:pPr>
        <w:pStyle w:val="Bullets"/>
      </w:pPr>
      <w:r>
        <w:t xml:space="preserve">More up-to-date flood hazard maps ultimately mean a safer more resilient </w:t>
      </w:r>
      <w:r w:rsidRPr="0093718F">
        <w:rPr>
          <w:rStyle w:val="CustomizableText"/>
        </w:rPr>
        <w:t>[county/community name]</w:t>
      </w:r>
      <w:r>
        <w:t>.</w:t>
      </w:r>
    </w:p>
    <w:p w14:paraId="2F76D86F" w14:textId="77777777" w:rsidR="00C76D20" w:rsidRDefault="00BA76B8" w:rsidP="00BA76B8">
      <w:pPr>
        <w:pStyle w:val="Bullets"/>
        <w:rPr>
          <w:rStyle w:val="CustomizableText"/>
        </w:rPr>
      </w:pPr>
      <w:r w:rsidRPr="00E0028B">
        <w:rPr>
          <w:rStyle w:val="CustomizableText"/>
        </w:rPr>
        <w:t>Appropriate logos go at bottom</w:t>
      </w:r>
      <w:r>
        <w:rPr>
          <w:rStyle w:val="CustomizableText"/>
        </w:rPr>
        <w:t>.</w:t>
      </w:r>
    </w:p>
    <w:p w14:paraId="2F76D870" w14:textId="77777777" w:rsidR="00D36FBF" w:rsidRDefault="00D36FBF" w:rsidP="00BA76B8">
      <w:pPr>
        <w:pStyle w:val="Bullets"/>
        <w:rPr>
          <w:color w:val="FF0000"/>
        </w:rPr>
        <w:sectPr w:rsidR="00D36FBF" w:rsidSect="00D36FBF">
          <w:footerReference w:type="default" r:id="rId8"/>
          <w:headerReference w:type="first" r:id="rId9"/>
          <w:footerReference w:type="first" r:id="rId10"/>
          <w:type w:val="continuous"/>
          <w:pgSz w:w="12240" w:h="15840"/>
          <w:pgMar w:top="1080" w:right="1080" w:bottom="1080" w:left="1080" w:header="864" w:footer="547" w:gutter="0"/>
          <w:cols w:num="2" w:space="360"/>
          <w:titlePg/>
          <w:docGrid w:linePitch="360"/>
        </w:sectPr>
      </w:pPr>
    </w:p>
    <w:p w14:paraId="2F76D871" w14:textId="77777777" w:rsidR="00D36FBF" w:rsidRPr="00D36FBF" w:rsidRDefault="00D36FBF" w:rsidP="00D36FBF">
      <w:bookmarkStart w:id="0" w:name="_GoBack"/>
      <w:bookmarkEnd w:id="0"/>
    </w:p>
    <w:sectPr w:rsidR="00D36FBF" w:rsidRPr="00D36FBF" w:rsidSect="00D36FBF">
      <w:type w:val="continuous"/>
      <w:pgSz w:w="12240" w:h="15840"/>
      <w:pgMar w:top="1080" w:right="1080" w:bottom="1080" w:left="1080" w:header="864" w:footer="54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6D876" w14:textId="77777777" w:rsidR="00BA76B8" w:rsidRDefault="00BA76B8" w:rsidP="002827BC">
      <w:pPr>
        <w:spacing w:after="0"/>
      </w:pPr>
      <w:r>
        <w:separator/>
      </w:r>
    </w:p>
  </w:endnote>
  <w:endnote w:type="continuationSeparator" w:id="0">
    <w:p w14:paraId="2F76D877" w14:textId="77777777" w:rsidR="00BA76B8" w:rsidRDefault="00BA76B8"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D878" w14:textId="77777777"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Pr>
        <w:rFonts w:cs="Arial"/>
        <w:color w:val="000000" w:themeColor="accent5"/>
        <w:sz w:val="16"/>
        <w:szCs w:val="16"/>
      </w:rPr>
      <w:t>January 2017</w:t>
    </w:r>
  </w:p>
  <w:p w14:paraId="2F76D879" w14:textId="77777777" w:rsidR="00B57550" w:rsidRPr="004653F0" w:rsidRDefault="00B57550" w:rsidP="00B57550">
    <w:pPr>
      <w:pStyle w:val="Footer"/>
      <w:jc w:val="right"/>
      <w:rPr>
        <w:sz w:val="2"/>
        <w:szCs w:val="2"/>
      </w:rPr>
    </w:pPr>
    <w:r>
      <w:rPr>
        <w:rFonts w:cs="Arial"/>
        <w:b/>
        <w:color w:val="000000" w:themeColor="accent5"/>
        <w:sz w:val="18"/>
        <w:szCs w:val="18"/>
      </w:rPr>
      <w:t xml:space="preserve">INTERNAL TALKING POINTS: </w:t>
    </w:r>
    <w:r w:rsidRPr="008832BE">
      <w:rPr>
        <w:rFonts w:cs="Arial"/>
        <w:color w:val="000000" w:themeColor="accent5"/>
        <w:sz w:val="18"/>
        <w:szCs w:val="18"/>
      </w:rPr>
      <w:t>DISCOVERY PHASE</w:t>
    </w:r>
    <w:r>
      <w:rPr>
        <w:rFonts w:cs="Arial"/>
        <w:b/>
        <w:color w:val="000000" w:themeColor="accent5"/>
        <w:sz w:val="18"/>
        <w:szCs w:val="18"/>
      </w:rPr>
      <w:t xml:space="preserve"> </w:t>
    </w:r>
    <w:r w:rsidRPr="004653F0">
      <w:rPr>
        <w:rFonts w:cs="Arial"/>
        <w:color w:val="969696" w:themeColor="accent6"/>
        <w:szCs w:val="16"/>
      </w:rPr>
      <w:t>|</w:t>
    </w:r>
    <w:r>
      <w:rPr>
        <w:rFonts w:cs="Arial"/>
        <w:color w:val="969696" w:themeColor="accent6"/>
        <w:szCs w:val="16"/>
      </w:rPr>
      <w:t xml:space="preserve"> </w:t>
    </w:r>
    <w:sdt>
      <w:sdtPr>
        <w:rPr>
          <w:rFonts w:cs="Arial"/>
          <w:szCs w:val="16"/>
        </w:rPr>
        <w:id w:val="-1611578850"/>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BA76B8">
          <w:rPr>
            <w:rFonts w:cs="Arial"/>
            <w:b/>
            <w:noProof/>
            <w:color w:val="6A843B" w:themeColor="accent3"/>
            <w:szCs w:val="16"/>
          </w:rPr>
          <w:t>2</w:t>
        </w:r>
        <w:r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D882" w14:textId="4A7AE4C0"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A84D91">
      <w:rPr>
        <w:rFonts w:cs="Arial"/>
        <w:color w:val="000000" w:themeColor="accent5"/>
        <w:sz w:val="16"/>
        <w:szCs w:val="16"/>
      </w:rPr>
      <w:t>November</w:t>
    </w:r>
    <w:r>
      <w:rPr>
        <w:rFonts w:cs="Arial"/>
        <w:color w:val="000000" w:themeColor="accent5"/>
        <w:sz w:val="16"/>
        <w:szCs w:val="16"/>
      </w:rPr>
      <w:t xml:space="preserve"> 2017</w:t>
    </w:r>
  </w:p>
  <w:p w14:paraId="2F76D883" w14:textId="49F10949" w:rsidR="00B57550" w:rsidRPr="004653F0" w:rsidRDefault="00976CC9" w:rsidP="00B57550">
    <w:pPr>
      <w:pStyle w:val="Footer"/>
      <w:jc w:val="right"/>
      <w:rPr>
        <w:sz w:val="2"/>
        <w:szCs w:val="2"/>
      </w:rPr>
    </w:pPr>
    <w:r>
      <w:rPr>
        <w:rFonts w:cs="Arial"/>
        <w:b/>
        <w:color w:val="000000" w:themeColor="accent5"/>
        <w:sz w:val="18"/>
        <w:szCs w:val="18"/>
      </w:rPr>
      <w:t>AD COPY</w:t>
    </w:r>
    <w:r w:rsidR="00B57550">
      <w:rPr>
        <w:rFonts w:cs="Arial"/>
        <w:b/>
        <w:color w:val="000000" w:themeColor="accent5"/>
        <w:sz w:val="18"/>
        <w:szCs w:val="18"/>
      </w:rPr>
      <w:t xml:space="preserve"> </w:t>
    </w:r>
    <w:r w:rsidR="00B57550" w:rsidRPr="004653F0">
      <w:rPr>
        <w:rFonts w:cs="Arial"/>
        <w:color w:val="969696" w:themeColor="accent6"/>
        <w:szCs w:val="16"/>
      </w:rPr>
      <w:t>|</w:t>
    </w:r>
    <w:r w:rsidR="00B57550">
      <w:rPr>
        <w:rFonts w:cs="Arial"/>
        <w:color w:val="969696" w:themeColor="accent6"/>
        <w:szCs w:val="16"/>
      </w:rPr>
      <w:t xml:space="preserve"> </w:t>
    </w:r>
    <w:sdt>
      <w:sdtPr>
        <w:rPr>
          <w:rFonts w:cs="Arial"/>
          <w:szCs w:val="16"/>
        </w:rPr>
        <w:id w:val="-152528923"/>
        <w:docPartObj>
          <w:docPartGallery w:val="Page Numbers (Bottom of Page)"/>
          <w:docPartUnique/>
        </w:docPartObj>
      </w:sdtPr>
      <w:sdtEndPr>
        <w:rPr>
          <w:b/>
        </w:rPr>
      </w:sdtEndPr>
      <w:sdtContent>
        <w:r w:rsidR="00B57550" w:rsidRPr="004653F0">
          <w:rPr>
            <w:rFonts w:cs="Arial"/>
            <w:b/>
            <w:color w:val="6A843B" w:themeColor="accent3"/>
            <w:szCs w:val="16"/>
          </w:rPr>
          <w:fldChar w:fldCharType="begin"/>
        </w:r>
        <w:r w:rsidR="00B57550" w:rsidRPr="004653F0">
          <w:rPr>
            <w:rFonts w:cs="Arial"/>
            <w:b/>
            <w:color w:val="6A843B" w:themeColor="accent3"/>
            <w:szCs w:val="16"/>
          </w:rPr>
          <w:instrText xml:space="preserve"> PAGE   \* MERGEFORMAT </w:instrText>
        </w:r>
        <w:r w:rsidR="00B57550" w:rsidRPr="004653F0">
          <w:rPr>
            <w:rFonts w:cs="Arial"/>
            <w:b/>
            <w:color w:val="6A843B" w:themeColor="accent3"/>
            <w:szCs w:val="16"/>
          </w:rPr>
          <w:fldChar w:fldCharType="separate"/>
        </w:r>
        <w:r w:rsidR="00A84D91">
          <w:rPr>
            <w:rFonts w:cs="Arial"/>
            <w:b/>
            <w:noProof/>
            <w:color w:val="6A843B" w:themeColor="accent3"/>
            <w:szCs w:val="16"/>
          </w:rPr>
          <w:t>1</w:t>
        </w:r>
        <w:r w:rsidR="00B57550"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874" w14:textId="77777777" w:rsidR="00BA76B8" w:rsidRDefault="00BA76B8" w:rsidP="002827BC">
      <w:pPr>
        <w:spacing w:after="0"/>
      </w:pPr>
      <w:r>
        <w:separator/>
      </w:r>
    </w:p>
  </w:footnote>
  <w:footnote w:type="continuationSeparator" w:id="0">
    <w:p w14:paraId="2F76D875" w14:textId="77777777" w:rsidR="00BA76B8" w:rsidRDefault="00BA76B8"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5035"/>
      <w:gridCol w:w="5035"/>
    </w:tblGrid>
    <w:tr w:rsidR="00297F6E" w:rsidRPr="00D842AC" w14:paraId="2F76D880" w14:textId="77777777" w:rsidTr="00D36FBF">
      <w:trPr>
        <w:trHeight w:val="1080"/>
      </w:trPr>
      <w:tc>
        <w:tcPr>
          <w:tcW w:w="5035" w:type="dxa"/>
          <w:tcBorders>
            <w:top w:val="nil"/>
            <w:left w:val="nil"/>
            <w:bottom w:val="nil"/>
            <w:right w:val="nil"/>
          </w:tcBorders>
        </w:tcPr>
        <w:p w14:paraId="2F76D87A" w14:textId="77777777" w:rsidR="00297F6E" w:rsidRPr="00D842AC" w:rsidRDefault="00297F6E" w:rsidP="00297F6E">
          <w:pPr>
            <w:pStyle w:val="Header"/>
            <w:rPr>
              <w:caps/>
              <w:sz w:val="24"/>
              <w:szCs w:val="24"/>
            </w:rPr>
          </w:pPr>
          <w:r w:rsidRPr="00D842AC">
            <w:rPr>
              <w:caps/>
              <w:sz w:val="24"/>
              <w:szCs w:val="24"/>
            </w:rPr>
            <w:t>Georgia Flood Map Program</w:t>
          </w:r>
        </w:p>
        <w:p w14:paraId="2F76D87B" w14:textId="67D64D92" w:rsidR="00297F6E" w:rsidRDefault="00976CC9" w:rsidP="00FB1562">
          <w:pPr>
            <w:pStyle w:val="PageHeading"/>
            <w:rPr>
              <w:sz w:val="16"/>
              <w:szCs w:val="16"/>
            </w:rPr>
          </w:pPr>
          <w:r>
            <w:t>ad copy</w:t>
          </w:r>
          <w:r w:rsidR="00A84D91">
            <w:t>-PRELIMINARY RELEASE</w:t>
          </w:r>
        </w:p>
      </w:tc>
      <w:tc>
        <w:tcPr>
          <w:tcW w:w="5035" w:type="dxa"/>
          <w:tcBorders>
            <w:top w:val="nil"/>
            <w:left w:val="nil"/>
            <w:bottom w:val="nil"/>
            <w:right w:val="nil"/>
          </w:tcBorders>
          <w:vAlign w:val="bottom"/>
        </w:tcPr>
        <w:p w14:paraId="2F76D87C" w14:textId="77777777" w:rsidR="00297F6E" w:rsidRPr="00D842AC" w:rsidRDefault="00297F6E" w:rsidP="00297F6E">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2F76D87D" w14:textId="77777777" w:rsidR="00297F6E" w:rsidRDefault="00297F6E" w:rsidP="00297F6E">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2F76D87E"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2F76D87F"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p>
      </w:tc>
    </w:tr>
  </w:tbl>
  <w:p w14:paraId="2F76D881" w14:textId="77777777" w:rsidR="000465F1" w:rsidRPr="00297F6E" w:rsidRDefault="000465F1" w:rsidP="00D36FBF">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B8"/>
    <w:rsid w:val="00003F5E"/>
    <w:rsid w:val="00014595"/>
    <w:rsid w:val="000465F1"/>
    <w:rsid w:val="0006185F"/>
    <w:rsid w:val="00077138"/>
    <w:rsid w:val="00092B2B"/>
    <w:rsid w:val="000B5244"/>
    <w:rsid w:val="000F0534"/>
    <w:rsid w:val="001008EF"/>
    <w:rsid w:val="0015509A"/>
    <w:rsid w:val="001B4167"/>
    <w:rsid w:val="001F47DA"/>
    <w:rsid w:val="00237185"/>
    <w:rsid w:val="002827BC"/>
    <w:rsid w:val="00297F6E"/>
    <w:rsid w:val="002A4CE4"/>
    <w:rsid w:val="002D0E45"/>
    <w:rsid w:val="00307F90"/>
    <w:rsid w:val="00314BC6"/>
    <w:rsid w:val="00326ACC"/>
    <w:rsid w:val="0033745A"/>
    <w:rsid w:val="00377860"/>
    <w:rsid w:val="003A5A2D"/>
    <w:rsid w:val="003B5CBA"/>
    <w:rsid w:val="003C54F7"/>
    <w:rsid w:val="00410116"/>
    <w:rsid w:val="004138A0"/>
    <w:rsid w:val="00457185"/>
    <w:rsid w:val="00460BE1"/>
    <w:rsid w:val="004653F0"/>
    <w:rsid w:val="004A7241"/>
    <w:rsid w:val="004B1E88"/>
    <w:rsid w:val="004D7EF1"/>
    <w:rsid w:val="004F079F"/>
    <w:rsid w:val="004F60CB"/>
    <w:rsid w:val="00520BF0"/>
    <w:rsid w:val="00527409"/>
    <w:rsid w:val="00541BDF"/>
    <w:rsid w:val="00544DA4"/>
    <w:rsid w:val="005A3684"/>
    <w:rsid w:val="005E0977"/>
    <w:rsid w:val="005F3B60"/>
    <w:rsid w:val="00631ED7"/>
    <w:rsid w:val="006632E0"/>
    <w:rsid w:val="0066675E"/>
    <w:rsid w:val="006864A2"/>
    <w:rsid w:val="006A50C3"/>
    <w:rsid w:val="006C3B63"/>
    <w:rsid w:val="006C4EE0"/>
    <w:rsid w:val="0071235C"/>
    <w:rsid w:val="007B30CA"/>
    <w:rsid w:val="008459C8"/>
    <w:rsid w:val="00852FB4"/>
    <w:rsid w:val="00862B92"/>
    <w:rsid w:val="00885CE9"/>
    <w:rsid w:val="008E492F"/>
    <w:rsid w:val="00971764"/>
    <w:rsid w:val="00976CC9"/>
    <w:rsid w:val="009B0B27"/>
    <w:rsid w:val="00A31332"/>
    <w:rsid w:val="00A36D85"/>
    <w:rsid w:val="00A4636D"/>
    <w:rsid w:val="00A84D91"/>
    <w:rsid w:val="00A90086"/>
    <w:rsid w:val="00A95067"/>
    <w:rsid w:val="00AA1A2E"/>
    <w:rsid w:val="00AA304E"/>
    <w:rsid w:val="00AD3D9F"/>
    <w:rsid w:val="00B42EEB"/>
    <w:rsid w:val="00B57550"/>
    <w:rsid w:val="00B73C7C"/>
    <w:rsid w:val="00BA76B8"/>
    <w:rsid w:val="00BE67AE"/>
    <w:rsid w:val="00C1464B"/>
    <w:rsid w:val="00C76D20"/>
    <w:rsid w:val="00CD5D0D"/>
    <w:rsid w:val="00CF755F"/>
    <w:rsid w:val="00CF7A32"/>
    <w:rsid w:val="00D03BA5"/>
    <w:rsid w:val="00D170BE"/>
    <w:rsid w:val="00D36FBF"/>
    <w:rsid w:val="00D842AC"/>
    <w:rsid w:val="00D85D49"/>
    <w:rsid w:val="00DB084E"/>
    <w:rsid w:val="00DB76A5"/>
    <w:rsid w:val="00DC197B"/>
    <w:rsid w:val="00E0622F"/>
    <w:rsid w:val="00E54518"/>
    <w:rsid w:val="00EA0ECA"/>
    <w:rsid w:val="00EF1DA7"/>
    <w:rsid w:val="00EF544F"/>
    <w:rsid w:val="00F15707"/>
    <w:rsid w:val="00F2396D"/>
    <w:rsid w:val="00F56C4B"/>
    <w:rsid w:val="00FA630F"/>
    <w:rsid w:val="00FB1562"/>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6D860"/>
  <w15:chartTrackingRefBased/>
  <w15:docId w15:val="{66564555-F058-4829-B679-9837B087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6B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A90086"/>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color w:val="365F91" w:themeColor="accent4"/>
      <w:sz w:val="18"/>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pPr>
      <w:spacing w:after="0"/>
    </w:pPr>
    <w:rPr>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A90086"/>
    <w:rPr>
      <w:caps/>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Template</dc:title>
  <dc:subject/>
  <dc:creator>Bruce A. Bender, CFM</dc:creator>
  <cp:keywords/>
  <dc:description/>
  <cp:lastModifiedBy>Bruce Bender</cp:lastModifiedBy>
  <cp:revision>7</cp:revision>
  <cp:lastPrinted>2017-01-06T16:07:00Z</cp:lastPrinted>
  <dcterms:created xsi:type="dcterms:W3CDTF">2017-02-28T13:48:00Z</dcterms:created>
  <dcterms:modified xsi:type="dcterms:W3CDTF">2017-11-16T00:02:00Z</dcterms:modified>
</cp:coreProperties>
</file>