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07D8AA" w14:textId="77777777" w:rsidR="00E24926" w:rsidRPr="00E24926" w:rsidRDefault="00E24926" w:rsidP="00CB66C2">
      <w:pPr>
        <w:pStyle w:val="ParagraphHeading"/>
      </w:pPr>
      <w:r w:rsidRPr="00E24926">
        <w:t>NEW FLOOD MAPS TO BE ISSUED</w:t>
      </w:r>
    </w:p>
    <w:p w14:paraId="7F07D8AB" w14:textId="77777777" w:rsidR="00E24926" w:rsidRPr="00E24926" w:rsidRDefault="00E24926" w:rsidP="00E24926">
      <w:r w:rsidRPr="00E24926">
        <w:t xml:space="preserve">New flood hazard maps, known as Flood Insurance Rate Maps (FIRMs), will be issued and become effective on </w:t>
      </w:r>
      <w:r w:rsidRPr="00F8608C">
        <w:rPr>
          <w:rStyle w:val="CustomizableText"/>
        </w:rPr>
        <w:t>[date]</w:t>
      </w:r>
      <w:r w:rsidRPr="00E24926">
        <w:t xml:space="preserve"> for </w:t>
      </w:r>
      <w:r w:rsidRPr="00F8608C">
        <w:rPr>
          <w:rStyle w:val="CustomizableText"/>
        </w:rPr>
        <w:t>[Name]</w:t>
      </w:r>
      <w:r w:rsidRPr="00E24926">
        <w:t xml:space="preserve"> County. In cooperation with </w:t>
      </w:r>
      <w:r w:rsidRPr="00F8608C">
        <w:rPr>
          <w:rStyle w:val="CustomizableText"/>
        </w:rPr>
        <w:t>[county name]</w:t>
      </w:r>
      <w:r w:rsidRPr="00E24926">
        <w:t xml:space="preserve">, </w:t>
      </w:r>
      <w:r w:rsidRPr="00F8608C">
        <w:rPr>
          <w:rStyle w:val="CustomizableText"/>
        </w:rPr>
        <w:t>[community name]</w:t>
      </w:r>
      <w:r w:rsidRPr="00E24926">
        <w:t xml:space="preserve"> and other local communities, the maps were developed by the Georgia Department of Natural Resources (GA DNR) and the Federal Emergency Management Agency (FEMA) based on the latest digital mapping technology using the best data available. </w:t>
      </w:r>
    </w:p>
    <w:p w14:paraId="7F07D8AC" w14:textId="58281124" w:rsidR="00E24926" w:rsidRPr="00E24926" w:rsidRDefault="001D1C54" w:rsidP="00E24926">
      <w:r w:rsidRPr="00E24926">
        <w:rPr>
          <w:noProof/>
        </w:rPr>
        <w:drawing>
          <wp:anchor distT="0" distB="0" distL="114300" distR="114300" simplePos="0" relativeHeight="251658240" behindDoc="0" locked="0" layoutInCell="1" allowOverlap="1" wp14:anchorId="6A2F1B55" wp14:editId="3DCD8202">
            <wp:simplePos x="0" y="0"/>
            <wp:positionH relativeFrom="margin">
              <wp:posOffset>3375660</wp:posOffset>
            </wp:positionH>
            <wp:positionV relativeFrom="margin">
              <wp:posOffset>3132138</wp:posOffset>
            </wp:positionV>
            <wp:extent cx="2787015" cy="1641475"/>
            <wp:effectExtent l="0" t="0" r="0" b="0"/>
            <wp:wrapSquare wrapText="bothSides"/>
            <wp:docPr id="82" name="Picture 5" descr="TS Allison -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S Allison -LA"/>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3912" b="8868"/>
                    <a:stretch/>
                  </pic:blipFill>
                  <pic:spPr bwMode="auto">
                    <a:xfrm>
                      <a:off x="0" y="0"/>
                      <a:ext cx="2787015" cy="1641475"/>
                    </a:xfrm>
                    <a:prstGeom prst="rect">
                      <a:avLst/>
                    </a:prstGeom>
                    <a:noFill/>
                    <a:ln>
                      <a:noFill/>
                    </a:ln>
                    <a:extLst>
                      <a:ext uri="{53640926-AAD7-44D8-BBD7-CCE9431645EC}">
                        <a14:shadowObscured xmlns:a14="http://schemas.microsoft.com/office/drawing/2010/main"/>
                      </a:ext>
                    </a:extLst>
                  </pic:spPr>
                </pic:pic>
              </a:graphicData>
            </a:graphic>
          </wp:anchor>
        </w:drawing>
      </w:r>
      <w:r w:rsidR="00E24926" w:rsidRPr="00E24926">
        <w:t xml:space="preserve">This completes a multi-year effort to update the existing flood maps that were based on data that was </w:t>
      </w:r>
      <w:r w:rsidR="00E24926" w:rsidRPr="00F8608C">
        <w:rPr>
          <w:rStyle w:val="CustomizableText"/>
        </w:rPr>
        <w:t>[number]</w:t>
      </w:r>
      <w:r w:rsidR="00E24926" w:rsidRPr="00E24926">
        <w:t xml:space="preserve"> years old and no longer represented the </w:t>
      </w:r>
      <w:r w:rsidR="00E24926" w:rsidRPr="00F8608C">
        <w:rPr>
          <w:rStyle w:val="CustomizableText"/>
        </w:rPr>
        <w:t>[community’s/county’s name]</w:t>
      </w:r>
      <w:r w:rsidR="00E24926" w:rsidRPr="00E24926">
        <w:t xml:space="preserve"> current flood risk. As part of this process, residents and business owners have had the opportunity to meet with community and GA DNR officials to discuss the maps and to provide comments. All appeals and comments have been addressed and incorporated where they provided better information than what was shown on the preliminary flood map and flood insurance study.</w:t>
      </w:r>
    </w:p>
    <w:p w14:paraId="7F07D8AD" w14:textId="77777777" w:rsidR="00E24926" w:rsidRPr="00E24926" w:rsidRDefault="00D53C5B" w:rsidP="00E24926">
      <w:r>
        <w:t>The new maps will show—on a property by property—</w:t>
      </w:r>
      <w:r w:rsidR="00E24926" w:rsidRPr="00E24926">
        <w:t xml:space="preserve">the extent to which areas of the county are currently at risk for flooding. When the maps become effective, residents and business owners in many parts of the county may find that their flood risk is higher, or lower, than they thought. </w:t>
      </w:r>
    </w:p>
    <w:p w14:paraId="103E6B20" w14:textId="77777777" w:rsidR="005841D8" w:rsidRPr="00E24926" w:rsidRDefault="005841D8" w:rsidP="005841D8">
      <w:pPr>
        <w:pStyle w:val="ParagraphHeading"/>
      </w:pPr>
      <w:r w:rsidRPr="00E24926">
        <w:t>CHANGES IN INSURANCE REQUIREMENTS</w:t>
      </w:r>
    </w:p>
    <w:p w14:paraId="45A063CC" w14:textId="77777777" w:rsidR="005841D8" w:rsidRPr="00E24926" w:rsidRDefault="005841D8" w:rsidP="005841D8">
      <w:r w:rsidRPr="00E24926">
        <w:t>As the flood hazards change on the map, so will requirements for flood insurance and construction. Some property owners with mortgages that are newly mapped into high-risk areas may be required to carry flood insurance as a part of their mortgage agreement.</w:t>
      </w:r>
    </w:p>
    <w:p w14:paraId="3521534A" w14:textId="77777777" w:rsidR="005841D8" w:rsidRPr="00E24926" w:rsidRDefault="005841D8" w:rsidP="005841D8">
      <w:r w:rsidRPr="00E24926">
        <w:t>Property owners having to purchase flood insurance may be able to save money through cost-saving options through the National Flood Insurance Program (NFIP).</w:t>
      </w:r>
      <w:r>
        <w:t xml:space="preserve"> </w:t>
      </w:r>
      <w:r w:rsidRPr="00E24926">
        <w:t xml:space="preserve">For example, buildings now newly identified to be in a high-risk area may be eligible for the lower-cost Preferred Risk Policy (PRP) rates for the first 12 months </w:t>
      </w:r>
      <w:r>
        <w:t>after the map becomes effective</w:t>
      </w:r>
      <w:r>
        <w:rPr>
          <w:rStyle w:val="FootnoteReference"/>
        </w:rPr>
        <w:footnoteReference w:id="1"/>
      </w:r>
      <w:r w:rsidRPr="00E24926">
        <w:t>.</w:t>
      </w:r>
      <w:r>
        <w:t xml:space="preserve"> </w:t>
      </w:r>
      <w:r w:rsidRPr="00E24926">
        <w:t xml:space="preserve">Additional savings may be realized if a </w:t>
      </w:r>
      <w:r w:rsidRPr="00E24926">
        <w:t>PRP is purchased and effective before the new maps become effective.</w:t>
      </w:r>
      <w:r>
        <w:t xml:space="preserve"> </w:t>
      </w:r>
    </w:p>
    <w:p w14:paraId="5A8510FA" w14:textId="77777777" w:rsidR="005841D8" w:rsidRPr="00E24926" w:rsidRDefault="005841D8" w:rsidP="005841D8">
      <w:r w:rsidRPr="00E24926">
        <w:t>Buildings mapped from a high to higher risk zone (e.g., Zone AE to Zone VE) or have an increase in Base Flood Elevation (BFE)</w:t>
      </w:r>
      <w:r>
        <w:rPr>
          <w:rStyle w:val="FootnoteReference"/>
        </w:rPr>
        <w:footnoteReference w:id="2"/>
      </w:r>
      <w:r>
        <w:t xml:space="preserve"> </w:t>
      </w:r>
      <w:r w:rsidRPr="00E24926">
        <w:t xml:space="preserve">may be able to lock in the lower risk zone or BFE for future rating (known as grandfathering). </w:t>
      </w:r>
    </w:p>
    <w:p w14:paraId="7F07D8AE" w14:textId="4A8E8243" w:rsidR="00E24926" w:rsidRDefault="005841D8" w:rsidP="005841D8">
      <w:pPr>
        <w:rPr>
          <w:noProof/>
        </w:rPr>
      </w:pPr>
      <w:r w:rsidRPr="00E24926">
        <w:t xml:space="preserve">Property owners mapped out of a high-risk flood area to a lower risk area will no longer be federally required to carry flood insurance. However, flood insurance is recommended, because the risk for flooding has only been </w:t>
      </w:r>
      <w:r w:rsidRPr="00F8608C">
        <w:rPr>
          <w:b/>
        </w:rPr>
        <w:t>reduced, not removed</w:t>
      </w:r>
      <w:r w:rsidRPr="00E24926">
        <w:t>. More than 35 percent of all Georgia flood claims have occurred in areas of moderate- to low-flood risk. Most policyholders can have their existing flood insurance policy converted to the lower-cost Preferred Risk Policy, with premiums starting at less than $200 per year.</w:t>
      </w:r>
      <w:r>
        <w:t xml:space="preserve"> </w:t>
      </w:r>
      <w:r w:rsidRPr="00E24926">
        <w:t>Note that mortgage holders may still require flood insurance.</w:t>
      </w:r>
      <w:r w:rsidR="001D1C54" w:rsidRPr="001D1C54">
        <w:rPr>
          <w:noProof/>
        </w:rPr>
        <w:t xml:space="preserve"> </w:t>
      </w:r>
    </w:p>
    <w:p w14:paraId="51528CBA" w14:textId="77777777" w:rsidR="001D1C54" w:rsidRDefault="001D1C54" w:rsidP="001D1C54">
      <w:pPr>
        <w:pStyle w:val="ParagraphHeading"/>
      </w:pPr>
    </w:p>
    <w:p w14:paraId="2EED4737" w14:textId="5D81A2E1" w:rsidR="001D1C54" w:rsidRPr="00E24926" w:rsidRDefault="001D1C54" w:rsidP="001D1C54">
      <w:pPr>
        <w:pStyle w:val="ParagraphHeading"/>
      </w:pPr>
      <w:r w:rsidRPr="00E24926">
        <w:t>CHANGES IN BUILDING REQUIREMENTS</w:t>
      </w:r>
    </w:p>
    <w:p w14:paraId="5FD1DC13" w14:textId="77777777" w:rsidR="001D1C54" w:rsidRPr="00E24926" w:rsidRDefault="001D1C54" w:rsidP="001D1C54">
      <w:r w:rsidRPr="00E24926">
        <w:t xml:space="preserve">For those buildings mapped into a high-risk area from a moderate- or low-risk area, building requirements will also change. Once the new flood maps are adopted, all buildings will have to be constructed in accordance with the new flood zones and new base flood elevations shown on the map. </w:t>
      </w:r>
    </w:p>
    <w:p w14:paraId="10F4AF9A" w14:textId="77777777" w:rsidR="001D1C54" w:rsidRPr="00E24926" w:rsidRDefault="001D1C54" w:rsidP="001D1C54">
      <w:r w:rsidRPr="00E24926">
        <w:t xml:space="preserve">If a property owner still feels that their home or business should not </w:t>
      </w:r>
      <w:proofErr w:type="gramStart"/>
      <w:r w:rsidRPr="00E24926">
        <w:t>be located in</w:t>
      </w:r>
      <w:proofErr w:type="gramEnd"/>
      <w:r w:rsidRPr="00E24926">
        <w:t xml:space="preserve"> a high-risk area, they can submit a Letter of Map Change to FEMA once the new maps become effective. More information can be found at </w:t>
      </w:r>
      <w:hyperlink r:id="rId9" w:history="1">
        <w:r w:rsidRPr="009A676E">
          <w:rPr>
            <w:rStyle w:val="Hyperlink"/>
          </w:rPr>
          <w:t>www.fema.gov/letter-map-change</w:t>
        </w:r>
      </w:hyperlink>
      <w:r w:rsidRPr="00E24926">
        <w:t>.</w:t>
      </w:r>
    </w:p>
    <w:p w14:paraId="7F07D8AF" w14:textId="64724E9B" w:rsidR="005841D8" w:rsidRPr="005841D8" w:rsidRDefault="00FB5424" w:rsidP="005841D8">
      <w:pPr>
        <w:pStyle w:val="ParagraphHeading"/>
        <w:rPr>
          <w:noProof/>
        </w:rPr>
      </w:pPr>
      <w:r>
        <w:br w:type="column"/>
      </w:r>
    </w:p>
    <w:p w14:paraId="7F07D8B7" w14:textId="0C7F93EA" w:rsidR="00E24926" w:rsidRPr="001D1C54" w:rsidRDefault="005841D8" w:rsidP="00E24926">
      <w:pPr>
        <w:sectPr w:rsidR="00E24926" w:rsidRPr="001D1C54" w:rsidSect="005841D8">
          <w:footerReference w:type="default" r:id="rId10"/>
          <w:headerReference w:type="first" r:id="rId11"/>
          <w:footerReference w:type="first" r:id="rId12"/>
          <w:type w:val="continuous"/>
          <w:pgSz w:w="12240" w:h="15840"/>
          <w:pgMar w:top="1080" w:right="1080" w:bottom="1350" w:left="1080" w:header="864" w:footer="547" w:gutter="0"/>
          <w:cols w:num="2" w:space="360"/>
          <w:titlePg/>
          <w:docGrid w:linePitch="360"/>
        </w:sectPr>
      </w:pPr>
      <w:r w:rsidRPr="005841D8">
        <w:rPr>
          <w:noProof/>
        </w:rPr>
        <w:t xml:space="preserve"> </w:t>
      </w:r>
    </w:p>
    <w:tbl>
      <w:tblPr>
        <w:tblStyle w:val="GADNRGreenTable2"/>
        <w:tblW w:w="10080" w:type="dxa"/>
        <w:tblLook w:val="04A0" w:firstRow="1" w:lastRow="0" w:firstColumn="1" w:lastColumn="0" w:noHBand="0" w:noVBand="1"/>
      </w:tblPr>
      <w:tblGrid>
        <w:gridCol w:w="2088"/>
        <w:gridCol w:w="7992"/>
      </w:tblGrid>
      <w:tr w:rsidR="00A45B30" w:rsidRPr="00E24926" w14:paraId="7F07D8BB" w14:textId="77777777" w:rsidTr="00782E4C">
        <w:trPr>
          <w:cnfStyle w:val="100000000000" w:firstRow="1" w:lastRow="0" w:firstColumn="0" w:lastColumn="0" w:oddVBand="0" w:evenVBand="0" w:oddHBand="0" w:evenHBand="0" w:firstRowFirstColumn="0" w:firstRowLastColumn="0" w:lastRowFirstColumn="0" w:lastRowLastColumn="0"/>
          <w:trHeight w:val="216"/>
        </w:trPr>
        <w:tc>
          <w:tcPr>
            <w:tcW w:w="2088" w:type="dxa"/>
            <w:shd w:val="clear" w:color="auto" w:fill="0070C0"/>
          </w:tcPr>
          <w:p w14:paraId="7F07D8B9" w14:textId="77777777" w:rsidR="00A45B30" w:rsidRPr="00E24926" w:rsidRDefault="00A45B30" w:rsidP="00F82166">
            <w:pPr>
              <w:pStyle w:val="TableHeader"/>
            </w:pPr>
            <w:r w:rsidRPr="00E24926">
              <w:t>If Maps Show…</w:t>
            </w:r>
          </w:p>
        </w:tc>
        <w:tc>
          <w:tcPr>
            <w:tcW w:w="7992" w:type="dxa"/>
            <w:shd w:val="clear" w:color="auto" w:fill="0070C0"/>
          </w:tcPr>
          <w:p w14:paraId="7F07D8BA" w14:textId="77777777" w:rsidR="00A45B30" w:rsidRPr="00E24926" w:rsidRDefault="00A45B30" w:rsidP="00F82166">
            <w:pPr>
              <w:pStyle w:val="TableHeader"/>
            </w:pPr>
            <w:r w:rsidRPr="00E24926">
              <w:t>These Requirements, Options And Savings Apply</w:t>
            </w:r>
          </w:p>
        </w:tc>
      </w:tr>
      <w:tr w:rsidR="00A45B30" w:rsidRPr="00E24926" w14:paraId="7F07D8BF" w14:textId="77777777" w:rsidTr="008C5DFC">
        <w:trPr>
          <w:cnfStyle w:val="000000100000" w:firstRow="0" w:lastRow="0" w:firstColumn="0" w:lastColumn="0" w:oddVBand="0" w:evenVBand="0" w:oddHBand="1" w:evenHBand="0" w:firstRowFirstColumn="0" w:firstRowLastColumn="0" w:lastRowFirstColumn="0" w:lastRowLastColumn="0"/>
          <w:trHeight w:val="1212"/>
        </w:trPr>
        <w:tc>
          <w:tcPr>
            <w:tcW w:w="2088" w:type="dxa"/>
          </w:tcPr>
          <w:p w14:paraId="7F07D8BC" w14:textId="77777777" w:rsidR="00A45B30" w:rsidRPr="00DA6EF5" w:rsidRDefault="00A45B30" w:rsidP="00F82166">
            <w:pPr>
              <w:pStyle w:val="TableText"/>
              <w:rPr>
                <w:b/>
              </w:rPr>
            </w:pPr>
            <w:r w:rsidRPr="00DA6EF5">
              <w:rPr>
                <w:b/>
              </w:rPr>
              <w:t>Change from moderate or low flood risk to high-risk (e.g., flood Zone B, C, or X to Zone A, AE, AH, AO</w:t>
            </w:r>
            <w:r w:rsidRPr="00DA6EF5">
              <w:rPr>
                <w:rStyle w:val="CustomizableText"/>
                <w:b/>
              </w:rPr>
              <w:t>[, V or VE]</w:t>
            </w:r>
            <w:r w:rsidRPr="00DA6EF5">
              <w:rPr>
                <w:b/>
              </w:rPr>
              <w:t>)</w:t>
            </w:r>
          </w:p>
        </w:tc>
        <w:tc>
          <w:tcPr>
            <w:tcW w:w="7992" w:type="dxa"/>
          </w:tcPr>
          <w:p w14:paraId="7F07D8BD" w14:textId="77777777" w:rsidR="00A45B30" w:rsidRPr="00E24926" w:rsidRDefault="00A45B30" w:rsidP="008C5DFC">
            <w:pPr>
              <w:pStyle w:val="TableText"/>
              <w:spacing w:after="120"/>
            </w:pPr>
            <w:r w:rsidRPr="00DA6EF5">
              <w:rPr>
                <w:b/>
              </w:rPr>
              <w:t>Flood insurance is mandatory.</w:t>
            </w:r>
            <w:r w:rsidRPr="00E24926">
              <w:t xml:space="preserve"> Flood insurance will be federally required for most mortgage holders. Insurance costs may rise to reflect the true (high) risk. </w:t>
            </w:r>
          </w:p>
          <w:p w14:paraId="7F07D8BE" w14:textId="1A6FA1E0" w:rsidR="00A45B30" w:rsidRPr="00E24926" w:rsidRDefault="00A45B30" w:rsidP="00F82166">
            <w:pPr>
              <w:pStyle w:val="TableText"/>
            </w:pPr>
            <w:r w:rsidRPr="00DA6EF5">
              <w:rPr>
                <w:b/>
              </w:rPr>
              <w:t>Rating Options can offer savings.</w:t>
            </w:r>
            <w:r w:rsidRPr="00E24926">
              <w:t xml:space="preserve"> The NFIP provides savings by allowing lower-cost Preferred Risk Policy (PRP) rates to be used the first 12 months after a new flood map becomes effective. Premiums will then increase </w:t>
            </w:r>
            <w:r w:rsidR="005841D8">
              <w:t>no more than</w:t>
            </w:r>
            <w:r w:rsidRPr="00E24926">
              <w:t xml:space="preserve"> 18 percent each year. Affected property owners are encouraged to buy a PRP before the maps become effective for additional savings.</w:t>
            </w:r>
          </w:p>
        </w:tc>
      </w:tr>
      <w:tr w:rsidR="00A45B30" w:rsidRPr="00E24926" w14:paraId="7F07D8C2" w14:textId="77777777" w:rsidTr="00782E4C">
        <w:trPr>
          <w:cnfStyle w:val="000000010000" w:firstRow="0" w:lastRow="0" w:firstColumn="0" w:lastColumn="0" w:oddVBand="0" w:evenVBand="0" w:oddHBand="0" w:evenHBand="1" w:firstRowFirstColumn="0" w:firstRowLastColumn="0" w:lastRowFirstColumn="0" w:lastRowLastColumn="0"/>
          <w:trHeight w:val="1087"/>
        </w:trPr>
        <w:tc>
          <w:tcPr>
            <w:tcW w:w="2088" w:type="dxa"/>
            <w:shd w:val="clear" w:color="auto" w:fill="D9EFFF"/>
          </w:tcPr>
          <w:p w14:paraId="7F07D8C0" w14:textId="77777777" w:rsidR="00A45B30" w:rsidRPr="00DA6EF5" w:rsidRDefault="00A45B30" w:rsidP="00F82166">
            <w:pPr>
              <w:pStyle w:val="TableText"/>
              <w:rPr>
                <w:rStyle w:val="CustomizableText"/>
                <w:b/>
              </w:rPr>
            </w:pPr>
            <w:r w:rsidRPr="00DA6EF5">
              <w:rPr>
                <w:rStyle w:val="CustomizableText"/>
                <w:b/>
              </w:rPr>
              <w:t>[Change from high-risk Zone A or AE to higher-risk Zone V or VE or increase in Base Flood Elevation (BFE)]</w:t>
            </w:r>
          </w:p>
        </w:tc>
        <w:tc>
          <w:tcPr>
            <w:tcW w:w="7992" w:type="dxa"/>
            <w:shd w:val="clear" w:color="auto" w:fill="D9EFFF"/>
          </w:tcPr>
          <w:p w14:paraId="7F07D8C1" w14:textId="77777777" w:rsidR="00A45B30" w:rsidRPr="00427C77" w:rsidRDefault="00A45B30" w:rsidP="00F82166">
            <w:pPr>
              <w:pStyle w:val="TableText"/>
              <w:rPr>
                <w:rStyle w:val="CustomizableText"/>
              </w:rPr>
            </w:pPr>
            <w:r w:rsidRPr="00427C77">
              <w:rPr>
                <w:rStyle w:val="CustomizableText"/>
              </w:rPr>
              <w:t>[</w:t>
            </w:r>
            <w:r w:rsidRPr="00427C77">
              <w:rPr>
                <w:rStyle w:val="CustomizableText"/>
                <w:b/>
              </w:rPr>
              <w:t xml:space="preserve">An increase in risk can result in higher premiums; however, “grandfathering” can offer savings. </w:t>
            </w:r>
            <w:r w:rsidRPr="00427C77">
              <w:rPr>
                <w:rStyle w:val="CustomizableText"/>
              </w:rPr>
              <w:t>The NFIP grandfathering rules allow policyholders who have built in compliance with the flood map in effect at the time of c</w:t>
            </w:r>
            <w:bookmarkStart w:id="0" w:name="_GoBack"/>
            <w:bookmarkEnd w:id="0"/>
            <w:r w:rsidRPr="00427C77">
              <w:rPr>
                <w:rStyle w:val="CustomizableText"/>
              </w:rPr>
              <w:t>onstruction to keep their previous zone or BFE to calculate their insurance rate. This could result in significant savings. A grandfather-rated policy can be assigned to new owners at the time of sale.]</w:t>
            </w:r>
          </w:p>
        </w:tc>
      </w:tr>
      <w:tr w:rsidR="00A45B30" w:rsidRPr="00E24926" w14:paraId="7F07D8C6" w14:textId="77777777" w:rsidTr="008C5DFC">
        <w:trPr>
          <w:cnfStyle w:val="000000100000" w:firstRow="0" w:lastRow="0" w:firstColumn="0" w:lastColumn="0" w:oddVBand="0" w:evenVBand="0" w:oddHBand="1" w:evenHBand="0" w:firstRowFirstColumn="0" w:firstRowLastColumn="0" w:lastRowFirstColumn="0" w:lastRowLastColumn="0"/>
          <w:trHeight w:val="1152"/>
        </w:trPr>
        <w:tc>
          <w:tcPr>
            <w:tcW w:w="2088" w:type="dxa"/>
          </w:tcPr>
          <w:p w14:paraId="7F07D8C3" w14:textId="77777777" w:rsidR="00A45B30" w:rsidRPr="00DA6EF5" w:rsidRDefault="00A45B30" w:rsidP="00F82166">
            <w:pPr>
              <w:pStyle w:val="TableText"/>
              <w:rPr>
                <w:b/>
              </w:rPr>
            </w:pPr>
            <w:r w:rsidRPr="00DA6EF5">
              <w:rPr>
                <w:b/>
              </w:rPr>
              <w:t xml:space="preserve">Change from high flood risk to moderate or low risk (e.g., flood Zone </w:t>
            </w:r>
            <w:r w:rsidRPr="00DA6EF5">
              <w:rPr>
                <w:rStyle w:val="CustomizableText"/>
                <w:b/>
              </w:rPr>
              <w:t>[V, VE,]</w:t>
            </w:r>
            <w:r w:rsidRPr="00DA6EF5">
              <w:rPr>
                <w:b/>
              </w:rPr>
              <w:t xml:space="preserve"> A, AE, AH, AO, to Zone X or shaded X)</w:t>
            </w:r>
          </w:p>
        </w:tc>
        <w:tc>
          <w:tcPr>
            <w:tcW w:w="7992" w:type="dxa"/>
          </w:tcPr>
          <w:p w14:paraId="7F07D8C4" w14:textId="77777777" w:rsidR="00A45B30" w:rsidRPr="00E24926" w:rsidRDefault="00A45B30" w:rsidP="008C5DFC">
            <w:pPr>
              <w:pStyle w:val="TableText"/>
              <w:spacing w:after="120"/>
            </w:pPr>
            <w:r w:rsidRPr="00DA6EF5">
              <w:rPr>
                <w:b/>
              </w:rPr>
              <w:t>Flood insurance is optional but recommended.</w:t>
            </w:r>
            <w:r w:rsidRPr="00E24926">
              <w:t xml:space="preserve"> </w:t>
            </w:r>
            <w:r w:rsidRPr="00BA6451">
              <w:rPr>
                <w:b/>
              </w:rPr>
              <w:t xml:space="preserve">The risk has only been reduced, not </w:t>
            </w:r>
            <w:r w:rsidRPr="00BA6451">
              <w:rPr>
                <w:b/>
                <w:i/>
              </w:rPr>
              <w:t>removed.</w:t>
            </w:r>
            <w:r w:rsidRPr="00BA6451">
              <w:rPr>
                <w:b/>
              </w:rPr>
              <w:t xml:space="preserve"> </w:t>
            </w:r>
            <w:r w:rsidRPr="00E24926">
              <w:t>Flood insurance can still be obtained, and at lower rates. More than 35 percent of all Georgia flood insurance claims have occurred in moderate- and low-risk areas.</w:t>
            </w:r>
          </w:p>
          <w:p w14:paraId="7F07D8C5" w14:textId="77777777" w:rsidR="00A45B30" w:rsidRPr="00E24926" w:rsidRDefault="00A45B30" w:rsidP="00F82166">
            <w:pPr>
              <w:pStyle w:val="TableText"/>
            </w:pPr>
            <w:r w:rsidRPr="00DA6EF5">
              <w:rPr>
                <w:b/>
              </w:rPr>
              <w:t>Conversion offers savings.</w:t>
            </w:r>
            <w:r w:rsidRPr="00E24926">
              <w:t xml:space="preserve"> An existing policy can be easily converted to a lower-cost Preferred Risk Policy, if the building qualifies. Note that lenders always have the option to require flood insurance in these areas.</w:t>
            </w:r>
          </w:p>
        </w:tc>
      </w:tr>
      <w:tr w:rsidR="00A45B30" w:rsidRPr="00E24926" w14:paraId="7F07D8C9" w14:textId="77777777" w:rsidTr="00782E4C">
        <w:trPr>
          <w:cnfStyle w:val="000000010000" w:firstRow="0" w:lastRow="0" w:firstColumn="0" w:lastColumn="0" w:oddVBand="0" w:evenVBand="0" w:oddHBand="0" w:evenHBand="1" w:firstRowFirstColumn="0" w:firstRowLastColumn="0" w:lastRowFirstColumn="0" w:lastRowLastColumn="0"/>
          <w:trHeight w:val="288"/>
        </w:trPr>
        <w:tc>
          <w:tcPr>
            <w:tcW w:w="2088" w:type="dxa"/>
            <w:shd w:val="clear" w:color="auto" w:fill="D9EFFF"/>
          </w:tcPr>
          <w:p w14:paraId="7F07D8C7" w14:textId="77777777" w:rsidR="00A45B30" w:rsidRPr="00DA6EF5" w:rsidRDefault="00A45B30" w:rsidP="00F82166">
            <w:pPr>
              <w:pStyle w:val="TableText"/>
              <w:rPr>
                <w:b/>
              </w:rPr>
            </w:pPr>
            <w:r w:rsidRPr="00DA6EF5">
              <w:rPr>
                <w:b/>
              </w:rPr>
              <w:t xml:space="preserve">No change in </w:t>
            </w:r>
            <w:r w:rsidRPr="00DA6EF5">
              <w:rPr>
                <w:b/>
              </w:rPr>
              <w:br/>
              <w:t xml:space="preserve">risk level </w:t>
            </w:r>
          </w:p>
        </w:tc>
        <w:tc>
          <w:tcPr>
            <w:tcW w:w="7992" w:type="dxa"/>
            <w:shd w:val="clear" w:color="auto" w:fill="D9EFFF"/>
          </w:tcPr>
          <w:p w14:paraId="7F07D8C8" w14:textId="77777777" w:rsidR="00A45B30" w:rsidRPr="00E24926" w:rsidRDefault="00A45B30" w:rsidP="00F82166">
            <w:pPr>
              <w:pStyle w:val="TableText"/>
            </w:pPr>
            <w:r w:rsidRPr="00DA6EF5">
              <w:rPr>
                <w:b/>
              </w:rPr>
              <w:t>No change in insurance rates.</w:t>
            </w:r>
            <w:r w:rsidRPr="00E24926">
              <w:t xml:space="preserve"> However, this is a good time to review your coverages and ensure that your building and contents are adequately insured. </w:t>
            </w:r>
          </w:p>
        </w:tc>
      </w:tr>
    </w:tbl>
    <w:p w14:paraId="7F07D8CA" w14:textId="77777777" w:rsidR="008C5DFC" w:rsidRDefault="008C5DFC" w:rsidP="00D53C5B">
      <w:pPr>
        <w:pStyle w:val="ParagraphHeading"/>
        <w:sectPr w:rsidR="008C5DFC" w:rsidSect="00E24926">
          <w:type w:val="continuous"/>
          <w:pgSz w:w="12240" w:h="15840"/>
          <w:pgMar w:top="1080" w:right="1080" w:bottom="1800" w:left="1080" w:header="864" w:footer="547" w:gutter="0"/>
          <w:cols w:space="360"/>
          <w:titlePg/>
          <w:docGrid w:linePitch="360"/>
        </w:sectPr>
      </w:pPr>
    </w:p>
    <w:p w14:paraId="7F07D8CB" w14:textId="77777777" w:rsidR="00D53C5B" w:rsidRPr="00E24926" w:rsidRDefault="00D53C5B" w:rsidP="00D53C5B">
      <w:pPr>
        <w:pStyle w:val="ParagraphHeading"/>
      </w:pPr>
      <w:r w:rsidRPr="00E24926">
        <w:t xml:space="preserve">NEW MAPS MEAN A SAFER </w:t>
      </w:r>
      <w:r w:rsidRPr="00DA6EF5">
        <w:rPr>
          <w:rStyle w:val="CustomizableText"/>
        </w:rPr>
        <w:t>[COMMUNITY/COUNTY]</w:t>
      </w:r>
      <w:r w:rsidRPr="00E24926">
        <w:t xml:space="preserve"> </w:t>
      </w:r>
    </w:p>
    <w:p w14:paraId="7F07D8CC" w14:textId="77777777" w:rsidR="00D53C5B" w:rsidRPr="00E24926" w:rsidRDefault="00D53C5B" w:rsidP="00D53C5B">
      <w:pPr>
        <w:pStyle w:val="BulletHeadingParagraph"/>
      </w:pPr>
      <w:r w:rsidRPr="00E24926">
        <w:t xml:space="preserve">By showing the extent to which areas of the </w:t>
      </w:r>
      <w:r w:rsidRPr="00DA6EF5">
        <w:rPr>
          <w:rStyle w:val="CustomizableText"/>
        </w:rPr>
        <w:t>[community/county]</w:t>
      </w:r>
      <w:r w:rsidRPr="00E24926">
        <w:t xml:space="preserve"> and individual properties are at risk for flooding, the new maps will help guide financial protection, planning, investment, building, development and renovation decisions. </w:t>
      </w:r>
    </w:p>
    <w:p w14:paraId="7F07D8CD" w14:textId="77777777" w:rsidR="00D53C5B" w:rsidRPr="00E24926" w:rsidRDefault="00D53C5B" w:rsidP="00D53C5B">
      <w:pPr>
        <w:pStyle w:val="Bullets"/>
      </w:pPr>
      <w:r w:rsidRPr="00DA6EF5">
        <w:rPr>
          <w:b/>
        </w:rPr>
        <w:t>Residents and business owners</w:t>
      </w:r>
      <w:r w:rsidRPr="00E24926">
        <w:t xml:space="preserve"> will understand their </w:t>
      </w:r>
      <w:r w:rsidRPr="00407B47">
        <w:rPr>
          <w:i/>
        </w:rPr>
        <w:t>current</w:t>
      </w:r>
      <w:r w:rsidRPr="00E24926">
        <w:t xml:space="preserve"> flood risk and be able to make better decisions about insuring and protecting their property against floods. </w:t>
      </w:r>
    </w:p>
    <w:p w14:paraId="7F07D8CE" w14:textId="77777777" w:rsidR="00D53C5B" w:rsidRPr="00E24926" w:rsidRDefault="00D53C5B" w:rsidP="00D53C5B">
      <w:pPr>
        <w:pStyle w:val="Bullets"/>
      </w:pPr>
      <w:r w:rsidRPr="00DA6EF5">
        <w:rPr>
          <w:b/>
        </w:rPr>
        <w:t>Builders and developers</w:t>
      </w:r>
      <w:r w:rsidRPr="00E24926">
        <w:t xml:space="preserve"> can use the updated map data to determine where and how to build structures more safely and how high to build to reduce the risk of flood damage. </w:t>
      </w:r>
    </w:p>
    <w:p w14:paraId="7F07D8CF" w14:textId="77777777" w:rsidR="00D53C5B" w:rsidRPr="00E24926" w:rsidRDefault="00D53C5B" w:rsidP="00D53C5B">
      <w:pPr>
        <w:pStyle w:val="Bullets"/>
      </w:pPr>
      <w:r w:rsidRPr="00DA6EF5">
        <w:rPr>
          <w:b/>
        </w:rPr>
        <w:t>Real estate agents</w:t>
      </w:r>
      <w:r w:rsidRPr="00E24926">
        <w:t xml:space="preserve"> will be better able to inform clients of the risk factors that may affect the property they are buying or selling as well as any flood insurance requirements.</w:t>
      </w:r>
    </w:p>
    <w:p w14:paraId="7F07D8D0" w14:textId="77777777" w:rsidR="00D53C5B" w:rsidRDefault="00D53C5B" w:rsidP="00D53C5B">
      <w:pPr>
        <w:pStyle w:val="Bullets"/>
      </w:pPr>
      <w:r w:rsidRPr="00DA6EF5">
        <w:rPr>
          <w:b/>
        </w:rPr>
        <w:t>Insurance agents</w:t>
      </w:r>
      <w:r w:rsidRPr="00E24926">
        <w:t xml:space="preserve"> will know their clients’ current flood risk and can provide more informed recommendations regarding flood insurance coverage options.</w:t>
      </w:r>
    </w:p>
    <w:p w14:paraId="7F07D8D1" w14:textId="77777777" w:rsidR="00543C81" w:rsidRDefault="00543C81" w:rsidP="00543C81">
      <w:pPr>
        <w:sectPr w:rsidR="00543C81" w:rsidSect="001D1C54">
          <w:type w:val="continuous"/>
          <w:pgSz w:w="12240" w:h="15840"/>
          <w:pgMar w:top="1080" w:right="1080" w:bottom="1800" w:left="1080" w:header="864" w:footer="547" w:gutter="0"/>
          <w:cols w:space="360"/>
          <w:titlePg/>
          <w:docGrid w:linePitch="360"/>
        </w:sectPr>
      </w:pPr>
    </w:p>
    <w:p w14:paraId="7F07D8D2" w14:textId="77777777" w:rsidR="00543C81" w:rsidRPr="006C49B2" w:rsidRDefault="00543C81" w:rsidP="006C49B2"/>
    <w:p w14:paraId="7F07D8D3" w14:textId="77777777" w:rsidR="006C49B2" w:rsidRDefault="006C49B2" w:rsidP="00543C81">
      <w:r w:rsidRPr="008459C8">
        <w:rPr>
          <w:noProof/>
        </w:rPr>
        <mc:AlternateContent>
          <mc:Choice Requires="wps">
            <w:drawing>
              <wp:inline distT="0" distB="0" distL="0" distR="0" wp14:anchorId="7F07D8D6" wp14:editId="7F07D8D7">
                <wp:extent cx="6400800" cy="497205"/>
                <wp:effectExtent l="0" t="0" r="0" b="0"/>
                <wp:docPr id="2"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497205"/>
                        </a:xfrm>
                        <a:prstGeom prst="rect">
                          <a:avLst/>
                        </a:prstGeom>
                        <a:solidFill>
                          <a:srgbClr val="E1E9F2">
                            <a:alpha val="50000"/>
                          </a:srgbClr>
                        </a:solidFill>
                        <a:ln>
                          <a:noFill/>
                        </a:ln>
                        <a:effectLst/>
                        <a:extLst/>
                      </wps:spPr>
                      <wps:txbx>
                        <w:txbxContent>
                          <w:p w14:paraId="7F07D8EF" w14:textId="77777777" w:rsidR="006C49B2" w:rsidRPr="00543C81" w:rsidRDefault="006C49B2" w:rsidP="006C49B2">
                            <w:pPr>
                              <w:pStyle w:val="ParagraphHeading"/>
                            </w:pPr>
                            <w:r w:rsidRPr="00543C81">
                              <w:t>STAY INFORMED</w:t>
                            </w:r>
                          </w:p>
                          <w:p w14:paraId="7F07D8F0" w14:textId="31EB8979" w:rsidR="006C49B2" w:rsidRPr="00543C81" w:rsidRDefault="006C49B2" w:rsidP="006C49B2">
                            <w:pPr>
                              <w:pStyle w:val="CalloutBoxText"/>
                              <w:rPr>
                                <w:rStyle w:val="Hyperlink"/>
                                <w:color w:val="365F91" w:themeColor="accent4"/>
                                <w:u w:val="none"/>
                              </w:rPr>
                            </w:pPr>
                            <w:r w:rsidRPr="00543C81">
                              <w:rPr>
                                <w:rStyle w:val="CustomizableText"/>
                              </w:rPr>
                              <w:t>[Community/county name]</w:t>
                            </w:r>
                            <w:r w:rsidRPr="00543C81">
                              <w:t xml:space="preserve"> are expected to pass an ordinance to adopt the new maps before the map’s effective date of </w:t>
                            </w:r>
                            <w:r w:rsidRPr="00543C81">
                              <w:rPr>
                                <w:rStyle w:val="CustomizableText"/>
                              </w:rPr>
                              <w:t>[effective date]</w:t>
                            </w:r>
                            <w:r w:rsidRPr="00543C81">
                              <w:t xml:space="preserve">. Property owners can learn more about the flood mapping project, view the new digital flood maps at </w:t>
                            </w:r>
                            <w:r w:rsidRPr="00543C81">
                              <w:rPr>
                                <w:rStyle w:val="CustomizableText"/>
                                <w:b/>
                              </w:rPr>
                              <w:t>[enter URL]</w:t>
                            </w:r>
                            <w:r w:rsidRPr="00543C81">
                              <w:t xml:space="preserve">. Individuals with general questions about the new maps can also call </w:t>
                            </w:r>
                            <w:r w:rsidRPr="00543C81">
                              <w:rPr>
                                <w:rStyle w:val="CustomizableText"/>
                                <w:b/>
                              </w:rPr>
                              <w:t>[name of local call center or contact]</w:t>
                            </w:r>
                            <w:r w:rsidRPr="00543C81">
                              <w:t xml:space="preserve"> at </w:t>
                            </w:r>
                            <w:r w:rsidRPr="00543C81">
                              <w:rPr>
                                <w:rStyle w:val="CustomizableText"/>
                                <w:b/>
                              </w:rPr>
                              <w:t>[phone #]</w:t>
                            </w:r>
                            <w:r w:rsidRPr="00543C81">
                              <w:t xml:space="preserve">. For information about flood insurance, contact your local insurance agent or visit </w:t>
                            </w:r>
                            <w:hyperlink r:id="rId13" w:history="1">
                              <w:r w:rsidR="005841D8" w:rsidRPr="004D603E">
                                <w:rPr>
                                  <w:rStyle w:val="Hyperlink"/>
                                </w:rPr>
                                <w:t>www.FEMA.gov/NFIP</w:t>
                              </w:r>
                            </w:hyperlink>
                            <w:r w:rsidR="005841D8">
                              <w:t xml:space="preserve">. </w:t>
                            </w:r>
                          </w:p>
                        </w:txbxContent>
                      </wps:txbx>
                      <wps:bodyPr rot="0" vert="horz" wrap="square" lIns="137160" tIns="91440" rIns="137160" bIns="91440" anchor="t" anchorCtr="0" upright="1">
                        <a:spAutoFit/>
                      </wps:bodyPr>
                    </wps:wsp>
                  </a:graphicData>
                </a:graphic>
              </wp:inline>
            </w:drawing>
          </mc:Choice>
          <mc:Fallback>
            <w:pict>
              <v:shapetype w14:anchorId="7F07D8D6" id="_x0000_t202" coordsize="21600,21600" o:spt="202" path="m,l,21600r21600,l21600,xe">
                <v:stroke joinstyle="miter"/>
                <v:path gradientshapeok="t" o:connecttype="rect"/>
              </v:shapetype>
              <v:shape id="Text Box 90" o:spid="_x0000_s1026" type="#_x0000_t202" style="width:7in;height:39.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" fillcolor="#e1e9f2" stroked="f">
                <v:fill opacity="32896f"/>
                <v:textbox style="mso-fit-shape-to-text:t" inset="10.8pt,7.2pt,10.8pt,7.2pt">
                  <w:txbxContent>
                    <w:p w14:paraId="7F07D8EF" w14:textId="77777777" w:rsidR="006C49B2" w:rsidRPr="00543C81" w:rsidRDefault="006C49B2" w:rsidP="006C49B2">
                      <w:pPr>
                        <w:pStyle w:val="ParagraphHeading"/>
                      </w:pPr>
                      <w:r w:rsidRPr="00543C81">
                        <w:t>STAY INFORMED</w:t>
                      </w:r>
                    </w:p>
                    <w:p w14:paraId="7F07D8F0" w14:textId="31EB8979" w:rsidR="006C49B2" w:rsidRPr="00543C81" w:rsidRDefault="006C49B2" w:rsidP="006C49B2">
                      <w:pPr>
                        <w:pStyle w:val="CalloutBoxText"/>
                        <w:rPr>
                          <w:rStyle w:val="Hyperlink"/>
                          <w:color w:val="365F91" w:themeColor="accent4"/>
                          <w:u w:val="none"/>
                        </w:rPr>
                      </w:pPr>
                      <w:r w:rsidRPr="00543C81">
                        <w:rPr>
                          <w:rStyle w:val="CustomizableText"/>
                        </w:rPr>
                        <w:t>[Community/county name]</w:t>
                      </w:r>
                      <w:r w:rsidRPr="00543C81">
                        <w:t xml:space="preserve"> are expected to pass an ordinance to adopt the new maps before the map’s effective date of </w:t>
                      </w:r>
                      <w:r w:rsidRPr="00543C81">
                        <w:rPr>
                          <w:rStyle w:val="CustomizableText"/>
                        </w:rPr>
                        <w:t>[effective date]</w:t>
                      </w:r>
                      <w:r w:rsidRPr="00543C81">
                        <w:t xml:space="preserve">. Property owners can learn more about the flood mapping project, view the new digital flood maps at </w:t>
                      </w:r>
                      <w:r w:rsidRPr="00543C81">
                        <w:rPr>
                          <w:rStyle w:val="CustomizableText"/>
                          <w:b/>
                        </w:rPr>
                        <w:t>[enter URL]</w:t>
                      </w:r>
                      <w:r w:rsidRPr="00543C81">
                        <w:t xml:space="preserve">. Individuals with general questions about the new maps can also call </w:t>
                      </w:r>
                      <w:r w:rsidRPr="00543C81">
                        <w:rPr>
                          <w:rStyle w:val="CustomizableText"/>
                          <w:b/>
                        </w:rPr>
                        <w:t>[name of local call center or contact]</w:t>
                      </w:r>
                      <w:r w:rsidRPr="00543C81">
                        <w:t xml:space="preserve"> at </w:t>
                      </w:r>
                      <w:r w:rsidRPr="00543C81">
                        <w:rPr>
                          <w:rStyle w:val="CustomizableText"/>
                          <w:b/>
                        </w:rPr>
                        <w:t>[phone #]</w:t>
                      </w:r>
                      <w:r w:rsidRPr="00543C81">
                        <w:t xml:space="preserve">. For information about flood insurance, contact your local insurance agent or visit </w:t>
                      </w:r>
                      <w:hyperlink r:id="rId14" w:history="1">
                        <w:r w:rsidR="005841D8" w:rsidRPr="004D603E">
                          <w:rPr>
                            <w:rStyle w:val="Hyperlink"/>
                          </w:rPr>
                          <w:t>www.FEMA.gov/NFIP</w:t>
                        </w:r>
                      </w:hyperlink>
                      <w:r w:rsidR="005841D8">
                        <w:t xml:space="preserve">. </w:t>
                      </w:r>
                    </w:p>
                  </w:txbxContent>
                </v:textbox>
                <w10:anchorlock/>
              </v:shape>
            </w:pict>
          </mc:Fallback>
        </mc:AlternateContent>
      </w:r>
    </w:p>
    <w:sectPr w:rsidR="006C49B2" w:rsidSect="006C49B2">
      <w:type w:val="continuous"/>
      <w:pgSz w:w="12240" w:h="15840"/>
      <w:pgMar w:top="1080" w:right="1080" w:bottom="1800" w:left="1080" w:header="864" w:footer="547" w:gutter="0"/>
      <w:cols w:space="36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07D8DA" w14:textId="77777777" w:rsidR="00247B68" w:rsidRDefault="00247B68" w:rsidP="002827BC">
      <w:pPr>
        <w:spacing w:after="0"/>
      </w:pPr>
      <w:r>
        <w:separator/>
      </w:r>
    </w:p>
  </w:endnote>
  <w:endnote w:type="continuationSeparator" w:id="0">
    <w:p w14:paraId="7F07D8DB" w14:textId="77777777" w:rsidR="00247B68" w:rsidRDefault="00247B68" w:rsidP="002827B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43"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pPr w:leftFromText="187" w:rightFromText="187" w:vertAnchor="text" w:tblpY="1"/>
      <w:tblOverlap w:val="never"/>
      <w:tblW w:w="10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880"/>
      <w:gridCol w:w="7200"/>
    </w:tblGrid>
    <w:tr w:rsidR="00474ECF" w:rsidRPr="004653F0" w14:paraId="7F07D8DF" w14:textId="77777777" w:rsidTr="006F0A50">
      <w:trPr>
        <w:trHeight w:val="576"/>
      </w:trPr>
      <w:tc>
        <w:tcPr>
          <w:tcW w:w="2880" w:type="dxa"/>
          <w:vAlign w:val="bottom"/>
        </w:tcPr>
        <w:p w14:paraId="7F07D8DC" w14:textId="77777777" w:rsidR="00474ECF" w:rsidRPr="004653F0" w:rsidRDefault="00474ECF" w:rsidP="00474ECF">
          <w:pPr>
            <w:pStyle w:val="Footer"/>
            <w:ind w:right="-43"/>
            <w:rPr>
              <w:rFonts w:cs="Arial"/>
              <w:color w:val="000000" w:themeColor="accent5"/>
              <w:szCs w:val="16"/>
            </w:rPr>
          </w:pPr>
          <w:r w:rsidRPr="004653F0">
            <w:rPr>
              <w:rFonts w:cs="Arial"/>
              <w:noProof/>
              <w:color w:val="000000" w:themeColor="accent5"/>
              <w:szCs w:val="16"/>
            </w:rPr>
            <w:drawing>
              <wp:inline distT="0" distB="0" distL="0" distR="0" wp14:anchorId="7F07D8E7" wp14:editId="7F07D8E8">
                <wp:extent cx="1551536" cy="547601"/>
                <wp:effectExtent l="0" t="0" r="0" b="508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GA-DNR-DeptNaturalResources_Logo-2w.png"/>
                        <pic:cNvPicPr/>
                      </pic:nvPicPr>
                      <pic:blipFill>
                        <a:blip r:embed="rId1">
                          <a:extLst>
                            <a:ext uri="{28A0092B-C50C-407E-A947-70E740481C1C}">
                              <a14:useLocalDpi xmlns:a14="http://schemas.microsoft.com/office/drawing/2010/main" val="0"/>
                            </a:ext>
                          </a:extLst>
                        </a:blip>
                        <a:stretch>
                          <a:fillRect/>
                        </a:stretch>
                      </pic:blipFill>
                      <pic:spPr>
                        <a:xfrm>
                          <a:off x="0" y="0"/>
                          <a:ext cx="1551536" cy="547601"/>
                        </a:xfrm>
                        <a:prstGeom prst="rect">
                          <a:avLst/>
                        </a:prstGeom>
                      </pic:spPr>
                    </pic:pic>
                  </a:graphicData>
                </a:graphic>
              </wp:inline>
            </w:drawing>
          </w:r>
        </w:p>
      </w:tc>
      <w:tc>
        <w:tcPr>
          <w:tcW w:w="7200" w:type="dxa"/>
          <w:vAlign w:val="bottom"/>
        </w:tcPr>
        <w:p w14:paraId="7F07D8DD" w14:textId="51C8685C" w:rsidR="00474ECF" w:rsidRPr="0066675E" w:rsidRDefault="00474ECF" w:rsidP="00474ECF">
          <w:pPr>
            <w:pStyle w:val="Footer"/>
            <w:jc w:val="right"/>
            <w:rPr>
              <w:rFonts w:cs="Arial"/>
              <w:color w:val="000000" w:themeColor="accent5"/>
              <w:sz w:val="16"/>
              <w:szCs w:val="16"/>
            </w:rPr>
          </w:pPr>
          <w:r w:rsidRPr="0066675E">
            <w:rPr>
              <w:rFonts w:cs="Arial"/>
              <w:color w:val="000000" w:themeColor="accent5"/>
              <w:sz w:val="16"/>
              <w:szCs w:val="16"/>
            </w:rPr>
            <w:t xml:space="preserve">revised </w:t>
          </w:r>
          <w:r w:rsidR="005841D8">
            <w:rPr>
              <w:rFonts w:cs="Arial"/>
              <w:color w:val="000000" w:themeColor="accent5"/>
              <w:sz w:val="16"/>
              <w:szCs w:val="16"/>
            </w:rPr>
            <w:t>November</w:t>
          </w:r>
          <w:r>
            <w:rPr>
              <w:rFonts w:cs="Arial"/>
              <w:color w:val="000000" w:themeColor="accent5"/>
              <w:sz w:val="16"/>
              <w:szCs w:val="16"/>
            </w:rPr>
            <w:t xml:space="preserve"> 2017</w:t>
          </w:r>
          <w:r w:rsidRPr="0066675E">
            <w:rPr>
              <w:rFonts w:cs="Arial"/>
              <w:color w:val="000000" w:themeColor="accent5"/>
              <w:sz w:val="16"/>
              <w:szCs w:val="16"/>
            </w:rPr>
            <w:t xml:space="preserve"> </w:t>
          </w:r>
        </w:p>
        <w:p w14:paraId="7F07D8DE" w14:textId="0FE89F7A" w:rsidR="00474ECF" w:rsidRPr="004653F0" w:rsidRDefault="00E24926" w:rsidP="00474ECF">
          <w:pPr>
            <w:pStyle w:val="Footer"/>
            <w:jc w:val="right"/>
            <w:rPr>
              <w:rFonts w:cs="Arial"/>
              <w:color w:val="000000" w:themeColor="accent5"/>
              <w:szCs w:val="16"/>
            </w:rPr>
          </w:pPr>
          <w:r w:rsidRPr="00E24926">
            <w:rPr>
              <w:rFonts w:cs="Arial"/>
              <w:b/>
              <w:color w:val="000000" w:themeColor="accent5"/>
              <w:sz w:val="18"/>
              <w:szCs w:val="18"/>
            </w:rPr>
            <w:t>POST-PRELIMINARY FACT SHEET</w:t>
          </w:r>
          <w:r w:rsidR="001845C9">
            <w:rPr>
              <w:rFonts w:cs="Arial"/>
              <w:b/>
              <w:color w:val="000000" w:themeColor="accent5"/>
              <w:szCs w:val="16"/>
            </w:rPr>
            <w:t xml:space="preserve"> </w:t>
          </w:r>
          <w:r w:rsidR="00474ECF" w:rsidRPr="004653F0">
            <w:rPr>
              <w:rFonts w:cs="Arial"/>
              <w:color w:val="969696" w:themeColor="accent6"/>
              <w:szCs w:val="16"/>
            </w:rPr>
            <w:t>|</w:t>
          </w:r>
          <w:r w:rsidR="001845C9">
            <w:rPr>
              <w:rFonts w:cs="Arial"/>
              <w:b/>
              <w:color w:val="969696" w:themeColor="accent6"/>
              <w:szCs w:val="16"/>
            </w:rPr>
            <w:t xml:space="preserve"> </w:t>
          </w:r>
          <w:sdt>
            <w:sdtPr>
              <w:rPr>
                <w:rFonts w:cs="Arial"/>
                <w:szCs w:val="16"/>
              </w:rPr>
              <w:id w:val="855003164"/>
              <w:docPartObj>
                <w:docPartGallery w:val="Page Numbers (Bottom of Page)"/>
                <w:docPartUnique/>
              </w:docPartObj>
            </w:sdtPr>
            <w:sdtEndPr>
              <w:rPr>
                <w:b/>
              </w:rPr>
            </w:sdtEndPr>
            <w:sdtContent>
              <w:r w:rsidR="00474ECF" w:rsidRPr="004653F0">
                <w:rPr>
                  <w:rFonts w:cs="Arial"/>
                  <w:b/>
                  <w:color w:val="6A843B" w:themeColor="accent3"/>
                  <w:szCs w:val="16"/>
                </w:rPr>
                <w:fldChar w:fldCharType="begin"/>
              </w:r>
              <w:r w:rsidR="00474ECF" w:rsidRPr="004653F0">
                <w:rPr>
                  <w:rFonts w:cs="Arial"/>
                  <w:b/>
                  <w:color w:val="6A843B" w:themeColor="accent3"/>
                  <w:szCs w:val="16"/>
                </w:rPr>
                <w:instrText xml:space="preserve"> PAGE   \* MERGEFORMAT </w:instrText>
              </w:r>
              <w:r w:rsidR="00474ECF" w:rsidRPr="004653F0">
                <w:rPr>
                  <w:rFonts w:cs="Arial"/>
                  <w:b/>
                  <w:color w:val="6A843B" w:themeColor="accent3"/>
                  <w:szCs w:val="16"/>
                </w:rPr>
                <w:fldChar w:fldCharType="separate"/>
              </w:r>
              <w:r w:rsidR="00782E4C">
                <w:rPr>
                  <w:rFonts w:cs="Arial"/>
                  <w:b/>
                  <w:noProof/>
                  <w:color w:val="6A843B" w:themeColor="accent3"/>
                  <w:szCs w:val="16"/>
                </w:rPr>
                <w:t>2</w:t>
              </w:r>
              <w:r w:rsidR="00474ECF" w:rsidRPr="004653F0">
                <w:rPr>
                  <w:rFonts w:cs="Arial"/>
                  <w:b/>
                  <w:color w:val="6A843B" w:themeColor="accent3"/>
                  <w:szCs w:val="16"/>
                </w:rPr>
                <w:fldChar w:fldCharType="end"/>
              </w:r>
              <w:r w:rsidR="00474ECF" w:rsidRPr="004653F0">
                <w:rPr>
                  <w:rFonts w:cs="Arial"/>
                  <w:b/>
                  <w:color w:val="87A5CB" w:themeColor="text2"/>
                  <w:szCs w:val="16"/>
                </w:rPr>
                <w:t xml:space="preserve"> </w:t>
              </w:r>
            </w:sdtContent>
          </w:sdt>
        </w:p>
      </w:tc>
    </w:tr>
  </w:tbl>
  <w:p w14:paraId="7F07D8E0" w14:textId="77777777" w:rsidR="00474ECF" w:rsidRPr="003A5A2D" w:rsidRDefault="00474ECF" w:rsidP="00474ECF">
    <w:pPr>
      <w:pStyle w:val="Foote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pPr w:leftFromText="187" w:rightFromText="187" w:vertAnchor="text" w:tblpY="1"/>
      <w:tblOverlap w:val="never"/>
      <w:tblW w:w="10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880"/>
      <w:gridCol w:w="7200"/>
    </w:tblGrid>
    <w:tr w:rsidR="00474ECF" w:rsidRPr="004653F0" w14:paraId="7F07D8E5" w14:textId="77777777" w:rsidTr="006F0A50">
      <w:trPr>
        <w:trHeight w:val="576"/>
      </w:trPr>
      <w:tc>
        <w:tcPr>
          <w:tcW w:w="2880" w:type="dxa"/>
          <w:vAlign w:val="bottom"/>
        </w:tcPr>
        <w:p w14:paraId="7F07D8E2" w14:textId="77777777" w:rsidR="00474ECF" w:rsidRPr="004653F0" w:rsidRDefault="00474ECF" w:rsidP="00474ECF">
          <w:pPr>
            <w:pStyle w:val="Footer"/>
            <w:ind w:right="-43"/>
            <w:rPr>
              <w:rFonts w:cs="Arial"/>
              <w:color w:val="000000" w:themeColor="accent5"/>
              <w:szCs w:val="16"/>
            </w:rPr>
          </w:pPr>
          <w:r w:rsidRPr="004653F0">
            <w:rPr>
              <w:rFonts w:cs="Arial"/>
              <w:noProof/>
              <w:color w:val="000000" w:themeColor="accent5"/>
              <w:szCs w:val="16"/>
            </w:rPr>
            <w:drawing>
              <wp:inline distT="0" distB="0" distL="0" distR="0" wp14:anchorId="7F07D8EB" wp14:editId="7F07D8EC">
                <wp:extent cx="1551536" cy="547601"/>
                <wp:effectExtent l="0" t="0" r="0" b="508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GA-DNR-DeptNaturalResources_Logo-2w.png"/>
                        <pic:cNvPicPr/>
                      </pic:nvPicPr>
                      <pic:blipFill>
                        <a:blip r:embed="rId1">
                          <a:extLst>
                            <a:ext uri="{28A0092B-C50C-407E-A947-70E740481C1C}">
                              <a14:useLocalDpi xmlns:a14="http://schemas.microsoft.com/office/drawing/2010/main" val="0"/>
                            </a:ext>
                          </a:extLst>
                        </a:blip>
                        <a:stretch>
                          <a:fillRect/>
                        </a:stretch>
                      </pic:blipFill>
                      <pic:spPr>
                        <a:xfrm>
                          <a:off x="0" y="0"/>
                          <a:ext cx="1551536" cy="547601"/>
                        </a:xfrm>
                        <a:prstGeom prst="rect">
                          <a:avLst/>
                        </a:prstGeom>
                      </pic:spPr>
                    </pic:pic>
                  </a:graphicData>
                </a:graphic>
              </wp:inline>
            </w:drawing>
          </w:r>
        </w:p>
      </w:tc>
      <w:tc>
        <w:tcPr>
          <w:tcW w:w="7200" w:type="dxa"/>
          <w:vAlign w:val="bottom"/>
        </w:tcPr>
        <w:p w14:paraId="7F07D8E3" w14:textId="344C464E" w:rsidR="00474ECF" w:rsidRPr="0066675E" w:rsidRDefault="00474ECF" w:rsidP="00474ECF">
          <w:pPr>
            <w:pStyle w:val="Footer"/>
            <w:jc w:val="right"/>
            <w:rPr>
              <w:rFonts w:cs="Arial"/>
              <w:color w:val="000000" w:themeColor="accent5"/>
              <w:sz w:val="16"/>
              <w:szCs w:val="16"/>
            </w:rPr>
          </w:pPr>
          <w:r w:rsidRPr="0066675E">
            <w:rPr>
              <w:rFonts w:cs="Arial"/>
              <w:color w:val="000000" w:themeColor="accent5"/>
              <w:sz w:val="16"/>
              <w:szCs w:val="16"/>
            </w:rPr>
            <w:t xml:space="preserve">revised </w:t>
          </w:r>
          <w:r w:rsidR="005841D8">
            <w:rPr>
              <w:rFonts w:cs="Arial"/>
              <w:color w:val="000000" w:themeColor="accent5"/>
              <w:sz w:val="16"/>
              <w:szCs w:val="16"/>
            </w:rPr>
            <w:t>November</w:t>
          </w:r>
          <w:r>
            <w:rPr>
              <w:rFonts w:cs="Arial"/>
              <w:color w:val="000000" w:themeColor="accent5"/>
              <w:sz w:val="16"/>
              <w:szCs w:val="16"/>
            </w:rPr>
            <w:t xml:space="preserve"> 2017</w:t>
          </w:r>
          <w:r w:rsidRPr="0066675E">
            <w:rPr>
              <w:rFonts w:cs="Arial"/>
              <w:color w:val="000000" w:themeColor="accent5"/>
              <w:sz w:val="16"/>
              <w:szCs w:val="16"/>
            </w:rPr>
            <w:t xml:space="preserve"> </w:t>
          </w:r>
        </w:p>
        <w:p w14:paraId="7F07D8E4" w14:textId="6ABE2BC3" w:rsidR="00474ECF" w:rsidRPr="004653F0" w:rsidRDefault="00E24926" w:rsidP="00474ECF">
          <w:pPr>
            <w:pStyle w:val="Footer"/>
            <w:jc w:val="right"/>
            <w:rPr>
              <w:rFonts w:cs="Arial"/>
              <w:color w:val="000000" w:themeColor="accent5"/>
              <w:szCs w:val="16"/>
            </w:rPr>
          </w:pPr>
          <w:r w:rsidRPr="00E24926">
            <w:rPr>
              <w:rFonts w:cs="Arial"/>
              <w:b/>
              <w:color w:val="000000" w:themeColor="accent5"/>
              <w:sz w:val="18"/>
              <w:szCs w:val="18"/>
            </w:rPr>
            <w:t>POST-PRELIMINARY FACT SHEET</w:t>
          </w:r>
          <w:r w:rsidR="001845C9">
            <w:rPr>
              <w:rFonts w:cs="Arial"/>
              <w:b/>
              <w:color w:val="000000" w:themeColor="accent5"/>
              <w:szCs w:val="16"/>
            </w:rPr>
            <w:t xml:space="preserve"> </w:t>
          </w:r>
          <w:r w:rsidR="00474ECF" w:rsidRPr="004653F0">
            <w:rPr>
              <w:rFonts w:cs="Arial"/>
              <w:color w:val="969696" w:themeColor="accent6"/>
              <w:szCs w:val="16"/>
            </w:rPr>
            <w:t>|</w:t>
          </w:r>
          <w:r w:rsidR="001845C9">
            <w:rPr>
              <w:rFonts w:cs="Arial"/>
              <w:b/>
              <w:color w:val="969696" w:themeColor="accent6"/>
              <w:szCs w:val="16"/>
            </w:rPr>
            <w:t xml:space="preserve"> </w:t>
          </w:r>
          <w:sdt>
            <w:sdtPr>
              <w:rPr>
                <w:rFonts w:cs="Arial"/>
                <w:szCs w:val="16"/>
              </w:rPr>
              <w:id w:val="-1870139753"/>
              <w:docPartObj>
                <w:docPartGallery w:val="Page Numbers (Bottom of Page)"/>
                <w:docPartUnique/>
              </w:docPartObj>
            </w:sdtPr>
            <w:sdtEndPr>
              <w:rPr>
                <w:b/>
              </w:rPr>
            </w:sdtEndPr>
            <w:sdtContent>
              <w:r w:rsidR="00474ECF" w:rsidRPr="004653F0">
                <w:rPr>
                  <w:rFonts w:cs="Arial"/>
                  <w:b/>
                  <w:color w:val="6A843B" w:themeColor="accent3"/>
                  <w:szCs w:val="16"/>
                </w:rPr>
                <w:fldChar w:fldCharType="begin"/>
              </w:r>
              <w:r w:rsidR="00474ECF" w:rsidRPr="004653F0">
                <w:rPr>
                  <w:rFonts w:cs="Arial"/>
                  <w:b/>
                  <w:color w:val="6A843B" w:themeColor="accent3"/>
                  <w:szCs w:val="16"/>
                </w:rPr>
                <w:instrText xml:space="preserve"> PAGE   \* MERGEFORMAT </w:instrText>
              </w:r>
              <w:r w:rsidR="00474ECF" w:rsidRPr="004653F0">
                <w:rPr>
                  <w:rFonts w:cs="Arial"/>
                  <w:b/>
                  <w:color w:val="6A843B" w:themeColor="accent3"/>
                  <w:szCs w:val="16"/>
                </w:rPr>
                <w:fldChar w:fldCharType="separate"/>
              </w:r>
              <w:r w:rsidR="00782E4C">
                <w:rPr>
                  <w:rFonts w:cs="Arial"/>
                  <w:b/>
                  <w:noProof/>
                  <w:color w:val="6A843B" w:themeColor="accent3"/>
                  <w:szCs w:val="16"/>
                </w:rPr>
                <w:t>1</w:t>
              </w:r>
              <w:r w:rsidR="00474ECF" w:rsidRPr="004653F0">
                <w:rPr>
                  <w:rFonts w:cs="Arial"/>
                  <w:b/>
                  <w:color w:val="6A843B" w:themeColor="accent3"/>
                  <w:szCs w:val="16"/>
                </w:rPr>
                <w:fldChar w:fldCharType="end"/>
              </w:r>
              <w:r w:rsidR="00474ECF" w:rsidRPr="004653F0">
                <w:rPr>
                  <w:rFonts w:cs="Arial"/>
                  <w:b/>
                  <w:color w:val="87A5CB" w:themeColor="text2"/>
                  <w:szCs w:val="16"/>
                </w:rPr>
                <w:t xml:space="preserve"> </w:t>
              </w:r>
            </w:sdtContent>
          </w:sdt>
        </w:p>
      </w:tc>
    </w:tr>
  </w:tbl>
  <w:p w14:paraId="7F07D8E6" w14:textId="77777777" w:rsidR="00474ECF" w:rsidRPr="003A5A2D" w:rsidRDefault="00474ECF" w:rsidP="00474ECF">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07D8D8" w14:textId="77777777" w:rsidR="00247B68" w:rsidRDefault="00247B68" w:rsidP="002827BC">
      <w:pPr>
        <w:spacing w:after="0"/>
      </w:pPr>
      <w:r>
        <w:separator/>
      </w:r>
    </w:p>
  </w:footnote>
  <w:footnote w:type="continuationSeparator" w:id="0">
    <w:p w14:paraId="7F07D8D9" w14:textId="77777777" w:rsidR="00247B68" w:rsidRDefault="00247B68" w:rsidP="002827BC">
      <w:pPr>
        <w:spacing w:after="0"/>
      </w:pPr>
      <w:r>
        <w:continuationSeparator/>
      </w:r>
    </w:p>
  </w:footnote>
  <w:footnote w:id="1">
    <w:p w14:paraId="361D87F8" w14:textId="77777777" w:rsidR="005841D8" w:rsidRPr="001845C9" w:rsidRDefault="005841D8" w:rsidP="005841D8">
      <w:pPr>
        <w:pStyle w:val="Footnote"/>
      </w:pPr>
      <w:r w:rsidRPr="001845C9">
        <w:rPr>
          <w:rStyle w:val="FootnoteReference"/>
        </w:rPr>
        <w:footnoteRef/>
      </w:r>
      <w:r w:rsidRPr="001845C9">
        <w:t xml:space="preserve"> Rates will then increase no more than 18% a year until they reach standard Zone X rates or rates equivalent to using the new maps.</w:t>
      </w:r>
    </w:p>
  </w:footnote>
  <w:footnote w:id="2">
    <w:p w14:paraId="25F607F7" w14:textId="77777777" w:rsidR="005841D8" w:rsidRDefault="005841D8" w:rsidP="005841D8">
      <w:pPr>
        <w:pStyle w:val="Footnote"/>
      </w:pPr>
      <w:r>
        <w:rPr>
          <w:rStyle w:val="FootnoteReference"/>
        </w:rPr>
        <w:footnoteRef/>
      </w:r>
      <w:r>
        <w:t xml:space="preserve"> </w:t>
      </w:r>
      <w:r w:rsidRPr="00F61888">
        <w:t xml:space="preserve">The Base Flood Elevation (BFE) is the level, in feet above sea level, that flood waters have a 1% annual chance of reaching </w:t>
      </w:r>
      <w:r>
        <w:t>or exceeding in any given year.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07D8E1" w14:textId="77777777" w:rsidR="00E303AD" w:rsidRDefault="00474ECF" w:rsidP="00E24926">
    <w:pPr>
      <w:pStyle w:val="FactSheetHeading"/>
    </w:pPr>
    <w:r>
      <w:drawing>
        <wp:anchor distT="0" distB="0" distL="114300" distR="114300" simplePos="0" relativeHeight="251659264" behindDoc="1" locked="0" layoutInCell="1" allowOverlap="1" wp14:anchorId="7F07D8E9" wp14:editId="7F07D8EA">
          <wp:simplePos x="0" y="0"/>
          <wp:positionH relativeFrom="page">
            <wp:posOffset>0</wp:posOffset>
          </wp:positionH>
          <wp:positionV relativeFrom="page">
            <wp:posOffset>-204716</wp:posOffset>
          </wp:positionV>
          <wp:extent cx="7759592" cy="1488016"/>
          <wp:effectExtent l="0" t="0" r="0" b="0"/>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4501_GA-DNR-Guidebook_Masthea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59592" cy="1488016"/>
                  </a:xfrm>
                  <a:prstGeom prst="rect">
                    <a:avLst/>
                  </a:prstGeom>
                </pic:spPr>
              </pic:pic>
            </a:graphicData>
          </a:graphic>
          <wp14:sizeRelH relativeFrom="margin">
            <wp14:pctWidth>0</wp14:pctWidth>
          </wp14:sizeRelH>
          <wp14:sizeRelV relativeFrom="margin">
            <wp14:pctHeight>0</wp14:pctHeight>
          </wp14:sizeRelV>
        </wp:anchor>
      </w:drawing>
    </w:r>
    <w:r w:rsidR="00E24926">
      <w:t>Post-Preliminary Fact Sheet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1F7CCF"/>
    <w:multiLevelType w:val="hybridMultilevel"/>
    <w:tmpl w:val="E62CC7AA"/>
    <w:lvl w:ilvl="0" w:tplc="C5DACF1E">
      <w:start w:val="1"/>
      <w:numFmt w:val="bullet"/>
      <w:lvlText w:val="▪"/>
      <w:lvlJc w:val="left"/>
      <w:pPr>
        <w:tabs>
          <w:tab w:val="num" w:pos="720"/>
        </w:tabs>
        <w:ind w:left="720" w:hanging="360"/>
      </w:pPr>
      <w:rPr>
        <w:rFonts w:ascii="Century" w:hAnsi="Century" w:hint="default"/>
        <w:color w:val="365F91"/>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3F0A2A"/>
    <w:multiLevelType w:val="hybridMultilevel"/>
    <w:tmpl w:val="FB9E7C3C"/>
    <w:lvl w:ilvl="0" w:tplc="469670DC">
      <w:start w:val="1"/>
      <w:numFmt w:val="bullet"/>
      <w:lvlText w:val="•"/>
      <w:lvlJc w:val="left"/>
      <w:pPr>
        <w:ind w:left="720" w:hanging="360"/>
      </w:pPr>
      <w:rPr>
        <w:rFonts w:ascii="Corbel" w:hAnsi="Corbe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4B5B3A"/>
    <w:multiLevelType w:val="hybridMultilevel"/>
    <w:tmpl w:val="9E20BE3E"/>
    <w:lvl w:ilvl="0" w:tplc="FCF29814">
      <w:start w:val="1"/>
      <w:numFmt w:val="bullet"/>
      <w:pStyle w:val="Bullets"/>
      <w:lvlText w:val="•"/>
      <w:lvlJc w:val="left"/>
      <w:pPr>
        <w:ind w:left="720" w:hanging="360"/>
      </w:pPr>
      <w:rPr>
        <w:rFonts w:ascii="Corbel" w:hAnsi="Corbel" w:hint="default"/>
        <w:color w:val="7B9451" w:themeColor="accen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451EDC"/>
    <w:multiLevelType w:val="hybridMultilevel"/>
    <w:tmpl w:val="F7508468"/>
    <w:lvl w:ilvl="0" w:tplc="53C4F5D8">
      <w:start w:val="1"/>
      <w:numFmt w:val="decimal"/>
      <w:pStyle w:val="NumberedBullets"/>
      <w:lvlText w:val="%1."/>
      <w:lvlJc w:val="left"/>
      <w:pPr>
        <w:ind w:left="864" w:hanging="360"/>
      </w:pPr>
      <w:rPr>
        <w:rFonts w:hint="default"/>
        <w:color w:val="7B9451" w:themeColor="accent2"/>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4" w15:restartNumberingAfterBreak="0">
    <w:nsid w:val="3B8A6C79"/>
    <w:multiLevelType w:val="hybridMultilevel"/>
    <w:tmpl w:val="39BAED4A"/>
    <w:lvl w:ilvl="0" w:tplc="C5DACF1E">
      <w:start w:val="1"/>
      <w:numFmt w:val="bullet"/>
      <w:lvlText w:val="▪"/>
      <w:lvlJc w:val="left"/>
      <w:pPr>
        <w:tabs>
          <w:tab w:val="num" w:pos="720"/>
        </w:tabs>
        <w:ind w:left="720" w:hanging="360"/>
      </w:pPr>
      <w:rPr>
        <w:rFonts w:ascii="Century" w:hAnsi="Century" w:hint="default"/>
        <w:color w:val="365F91"/>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7CC6F9A"/>
    <w:multiLevelType w:val="hybridMultilevel"/>
    <w:tmpl w:val="A8C64D84"/>
    <w:lvl w:ilvl="0" w:tplc="9CB0A8F8">
      <w:start w:val="1"/>
      <w:numFmt w:val="decimal"/>
      <w:lvlText w:val="%1."/>
      <w:lvlJc w:val="left"/>
      <w:pPr>
        <w:tabs>
          <w:tab w:val="num" w:pos="720"/>
        </w:tabs>
        <w:ind w:left="720" w:hanging="360"/>
      </w:pPr>
      <w:rPr>
        <w:rFonts w:ascii="Century" w:hAnsi="Century" w:hint="default"/>
        <w:b w:val="0"/>
        <w:i w:val="0"/>
        <w:color w:val="365F91"/>
        <w:sz w:val="21"/>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A5659AE"/>
    <w:multiLevelType w:val="hybridMultilevel"/>
    <w:tmpl w:val="777AE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0E71B8C"/>
    <w:multiLevelType w:val="hybridMultilevel"/>
    <w:tmpl w:val="09C8A2B8"/>
    <w:lvl w:ilvl="0" w:tplc="9AEE0728">
      <w:start w:val="1"/>
      <w:numFmt w:val="bullet"/>
      <w:lvlText w:val="▪"/>
      <w:lvlJc w:val="left"/>
      <w:pPr>
        <w:ind w:left="720" w:hanging="360"/>
      </w:pPr>
      <w:rPr>
        <w:rFonts w:ascii="Century" w:hAnsi="Century" w:hint="default"/>
        <w:color w:val="4F62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9B57771"/>
    <w:multiLevelType w:val="hybridMultilevel"/>
    <w:tmpl w:val="078836E4"/>
    <w:lvl w:ilvl="0" w:tplc="C5DACF1E">
      <w:start w:val="1"/>
      <w:numFmt w:val="bullet"/>
      <w:lvlText w:val="▪"/>
      <w:lvlJc w:val="left"/>
      <w:pPr>
        <w:ind w:left="720" w:hanging="360"/>
      </w:pPr>
      <w:rPr>
        <w:rFonts w:ascii="Century" w:hAnsi="Century" w:hint="default"/>
        <w:color w:val="365F9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E4C71CA"/>
    <w:multiLevelType w:val="hybridMultilevel"/>
    <w:tmpl w:val="2B3CF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9"/>
  </w:num>
  <w:num w:numId="4">
    <w:abstractNumId w:val="2"/>
  </w:num>
  <w:num w:numId="5">
    <w:abstractNumId w:val="5"/>
  </w:num>
  <w:num w:numId="6">
    <w:abstractNumId w:val="7"/>
  </w:num>
  <w:num w:numId="7">
    <w:abstractNumId w:val="8"/>
  </w:num>
  <w:num w:numId="8">
    <w:abstractNumId w:val="0"/>
  </w:num>
  <w:num w:numId="9">
    <w:abstractNumId w:val="4"/>
  </w:num>
  <w:num w:numId="10">
    <w:abstractNumId w:val="3"/>
  </w:num>
  <w:num w:numId="11">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7B68"/>
    <w:rsid w:val="00003EE3"/>
    <w:rsid w:val="00014595"/>
    <w:rsid w:val="000465F1"/>
    <w:rsid w:val="0006185F"/>
    <w:rsid w:val="000653D4"/>
    <w:rsid w:val="000B5244"/>
    <w:rsid w:val="000C2794"/>
    <w:rsid w:val="000E2721"/>
    <w:rsid w:val="001008EF"/>
    <w:rsid w:val="001845C9"/>
    <w:rsid w:val="001B4167"/>
    <w:rsid w:val="001D1C54"/>
    <w:rsid w:val="00247B68"/>
    <w:rsid w:val="00260B95"/>
    <w:rsid w:val="002827BC"/>
    <w:rsid w:val="002A4CE4"/>
    <w:rsid w:val="002D0E45"/>
    <w:rsid w:val="00307F90"/>
    <w:rsid w:val="00314BC6"/>
    <w:rsid w:val="00322EFF"/>
    <w:rsid w:val="00377860"/>
    <w:rsid w:val="003A5A2D"/>
    <w:rsid w:val="003C54F7"/>
    <w:rsid w:val="00407B47"/>
    <w:rsid w:val="00410116"/>
    <w:rsid w:val="004138A0"/>
    <w:rsid w:val="00427C77"/>
    <w:rsid w:val="00436E1B"/>
    <w:rsid w:val="00457185"/>
    <w:rsid w:val="00460BE1"/>
    <w:rsid w:val="004653F0"/>
    <w:rsid w:val="00474ECF"/>
    <w:rsid w:val="004A7241"/>
    <w:rsid w:val="004B1E88"/>
    <w:rsid w:val="004D7EF1"/>
    <w:rsid w:val="004F079F"/>
    <w:rsid w:val="004F60CB"/>
    <w:rsid w:val="00520BF0"/>
    <w:rsid w:val="00543C81"/>
    <w:rsid w:val="00544DA4"/>
    <w:rsid w:val="005841D8"/>
    <w:rsid w:val="005E0977"/>
    <w:rsid w:val="00631ED7"/>
    <w:rsid w:val="006632E0"/>
    <w:rsid w:val="0066675E"/>
    <w:rsid w:val="006A50C3"/>
    <w:rsid w:val="006C49B2"/>
    <w:rsid w:val="006C4EE0"/>
    <w:rsid w:val="006D1009"/>
    <w:rsid w:val="0071235C"/>
    <w:rsid w:val="00727E34"/>
    <w:rsid w:val="007572DB"/>
    <w:rsid w:val="00782E4C"/>
    <w:rsid w:val="007B30CA"/>
    <w:rsid w:val="008459C8"/>
    <w:rsid w:val="00852FB4"/>
    <w:rsid w:val="00877A1A"/>
    <w:rsid w:val="00885CE9"/>
    <w:rsid w:val="008C5DFC"/>
    <w:rsid w:val="008E492F"/>
    <w:rsid w:val="00915879"/>
    <w:rsid w:val="0095148C"/>
    <w:rsid w:val="00953A76"/>
    <w:rsid w:val="009B0B27"/>
    <w:rsid w:val="00A31332"/>
    <w:rsid w:val="00A45B30"/>
    <w:rsid w:val="00A4636D"/>
    <w:rsid w:val="00A83029"/>
    <w:rsid w:val="00AA1A2E"/>
    <w:rsid w:val="00AA304E"/>
    <w:rsid w:val="00AD3D9F"/>
    <w:rsid w:val="00AF1E0D"/>
    <w:rsid w:val="00B15942"/>
    <w:rsid w:val="00B4749F"/>
    <w:rsid w:val="00B73C7C"/>
    <w:rsid w:val="00BA6451"/>
    <w:rsid w:val="00BE67AE"/>
    <w:rsid w:val="00C007B5"/>
    <w:rsid w:val="00C05F29"/>
    <w:rsid w:val="00C25B4D"/>
    <w:rsid w:val="00C650B8"/>
    <w:rsid w:val="00C81972"/>
    <w:rsid w:val="00CB66C2"/>
    <w:rsid w:val="00CD5D0D"/>
    <w:rsid w:val="00CF61C7"/>
    <w:rsid w:val="00CF755F"/>
    <w:rsid w:val="00CF7A32"/>
    <w:rsid w:val="00D03BA5"/>
    <w:rsid w:val="00D170BE"/>
    <w:rsid w:val="00D53C5B"/>
    <w:rsid w:val="00D85D49"/>
    <w:rsid w:val="00DA6EF5"/>
    <w:rsid w:val="00DB084E"/>
    <w:rsid w:val="00DB76A5"/>
    <w:rsid w:val="00E0622F"/>
    <w:rsid w:val="00E24926"/>
    <w:rsid w:val="00E303AD"/>
    <w:rsid w:val="00EA0ECA"/>
    <w:rsid w:val="00EF1DA7"/>
    <w:rsid w:val="00EF544F"/>
    <w:rsid w:val="00F2396D"/>
    <w:rsid w:val="00F56C4B"/>
    <w:rsid w:val="00F8608C"/>
    <w:rsid w:val="00FA630F"/>
    <w:rsid w:val="00FB5424"/>
    <w:rsid w:val="00FC310C"/>
    <w:rsid w:val="00FC4FB3"/>
    <w:rsid w:val="00FF16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F07D8AA"/>
  <w15:chartTrackingRefBased/>
  <w15:docId w15:val="{97EF2F8F-6B5B-4552-9919-15B4EFC73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459C8"/>
    <w:pPr>
      <w:spacing w:after="270" w:line="240" w:lineRule="auto"/>
    </w:pPr>
    <w:rPr>
      <w:rFonts w:ascii="Corbel" w:hAnsi="Corbel"/>
    </w:rPr>
  </w:style>
  <w:style w:type="paragraph" w:styleId="Heading1">
    <w:name w:val="heading 1"/>
    <w:basedOn w:val="Normal"/>
    <w:next w:val="Normal"/>
    <w:link w:val="Heading1Char"/>
    <w:uiPriority w:val="9"/>
    <w:rsid w:val="00CF755F"/>
    <w:pPr>
      <w:keepNext/>
      <w:keepLines/>
      <w:spacing w:before="240" w:after="0"/>
      <w:outlineLvl w:val="0"/>
    </w:pPr>
    <w:rPr>
      <w:rFonts w:eastAsiaTheme="majorEastAsia" w:cstheme="majorBidi"/>
      <w:b/>
      <w:caps/>
      <w:color w:val="365F91"/>
      <w:sz w:val="48"/>
      <w:szCs w:val="32"/>
    </w:rPr>
  </w:style>
  <w:style w:type="paragraph" w:styleId="Heading2">
    <w:name w:val="heading 2"/>
    <w:basedOn w:val="Normal"/>
    <w:next w:val="Normal"/>
    <w:link w:val="Heading2Char"/>
    <w:uiPriority w:val="9"/>
    <w:semiHidden/>
    <w:unhideWhenUsed/>
    <w:rsid w:val="004D7EF1"/>
    <w:pPr>
      <w:keepNext/>
      <w:keepLines/>
      <w:spacing w:before="40" w:after="0"/>
      <w:outlineLvl w:val="1"/>
    </w:pPr>
    <w:rPr>
      <w:rFonts w:asciiTheme="majorHAnsi" w:eastAsiaTheme="majorEastAsia" w:hAnsiTheme="majorHAnsi" w:cstheme="majorBidi"/>
      <w:color w:val="4B5561" w:themeColor="accent1" w:themeShade="BF"/>
      <w:sz w:val="26"/>
      <w:szCs w:val="26"/>
    </w:rPr>
  </w:style>
  <w:style w:type="paragraph" w:styleId="Heading3">
    <w:name w:val="heading 3"/>
    <w:basedOn w:val="Normal"/>
    <w:next w:val="Normal"/>
    <w:link w:val="Heading3Char"/>
    <w:uiPriority w:val="9"/>
    <w:semiHidden/>
    <w:unhideWhenUsed/>
    <w:qFormat/>
    <w:rsid w:val="00CF755F"/>
    <w:pPr>
      <w:keepNext/>
      <w:keepLines/>
      <w:spacing w:before="40" w:after="0"/>
      <w:outlineLvl w:val="2"/>
    </w:pPr>
    <w:rPr>
      <w:rFonts w:asciiTheme="majorHAnsi" w:eastAsiaTheme="majorEastAsia" w:hAnsiTheme="majorHAnsi" w:cstheme="majorBidi"/>
      <w:color w:val="323840" w:themeColor="accent1" w:themeShade="7F"/>
      <w:sz w:val="24"/>
      <w:szCs w:val="24"/>
    </w:rPr>
  </w:style>
  <w:style w:type="paragraph" w:styleId="Heading4">
    <w:name w:val="heading 4"/>
    <w:basedOn w:val="Heading3"/>
    <w:next w:val="Normal"/>
    <w:link w:val="Heading4Char"/>
    <w:uiPriority w:val="9"/>
    <w:unhideWhenUsed/>
    <w:rsid w:val="00CF755F"/>
    <w:pPr>
      <w:spacing w:before="0" w:after="120"/>
      <w:outlineLvl w:val="3"/>
    </w:pPr>
    <w:rPr>
      <w:rFonts w:ascii="Franklin Gothic Demi" w:eastAsia="Times New Roman" w:hAnsi="Franklin Gothic Demi" w:cs="Times New Roman"/>
      <w:bCs/>
      <w:caps/>
      <w:color w:val="365F91"/>
      <w:spacing w:val="30"/>
      <w:sz w:val="28"/>
      <w14:shadow w14:blurRad="50800" w14:dist="38100" w14:dir="2700000" w14:sx="100000" w14:sy="100000" w14:kx="0" w14:ky="0" w14:algn="tl">
        <w14:srgbClr w14:val="000000">
          <w14:alpha w14:val="60000"/>
        </w14:srgbClr>
      </w14:shadow>
    </w:rPr>
  </w:style>
  <w:style w:type="paragraph" w:styleId="Heading5">
    <w:name w:val="heading 5"/>
    <w:basedOn w:val="Normal"/>
    <w:next w:val="Normal"/>
    <w:link w:val="Heading5Char"/>
    <w:uiPriority w:val="9"/>
    <w:semiHidden/>
    <w:unhideWhenUsed/>
    <w:rsid w:val="000B5244"/>
    <w:pPr>
      <w:keepNext/>
      <w:keepLines/>
      <w:spacing w:before="40" w:after="0"/>
      <w:outlineLvl w:val="4"/>
    </w:pPr>
    <w:rPr>
      <w:rFonts w:asciiTheme="majorHAnsi" w:eastAsiaTheme="majorEastAsia" w:hAnsiTheme="majorHAnsi" w:cstheme="majorBidi"/>
      <w:color w:val="4B5561" w:themeColor="accent1" w:themeShade="BF"/>
    </w:rPr>
  </w:style>
  <w:style w:type="paragraph" w:styleId="Heading6">
    <w:name w:val="heading 6"/>
    <w:basedOn w:val="Normal"/>
    <w:next w:val="Normal"/>
    <w:link w:val="Heading6Char"/>
    <w:uiPriority w:val="9"/>
    <w:semiHidden/>
    <w:unhideWhenUsed/>
    <w:qFormat/>
    <w:rsid w:val="000B5244"/>
    <w:pPr>
      <w:keepNext/>
      <w:keepLines/>
      <w:spacing w:before="40" w:after="0"/>
      <w:outlineLvl w:val="5"/>
    </w:pPr>
    <w:rPr>
      <w:rFonts w:asciiTheme="majorHAnsi" w:eastAsiaTheme="majorEastAsia" w:hAnsiTheme="majorHAnsi" w:cstheme="majorBidi"/>
      <w:color w:val="32384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27BC"/>
    <w:pPr>
      <w:tabs>
        <w:tab w:val="center" w:pos="4680"/>
        <w:tab w:val="right" w:pos="9360"/>
      </w:tabs>
      <w:spacing w:after="0"/>
    </w:pPr>
  </w:style>
  <w:style w:type="character" w:customStyle="1" w:styleId="HeaderChar">
    <w:name w:val="Header Char"/>
    <w:basedOn w:val="DefaultParagraphFont"/>
    <w:link w:val="Header"/>
    <w:uiPriority w:val="99"/>
    <w:rsid w:val="002827BC"/>
  </w:style>
  <w:style w:type="paragraph" w:styleId="Footer">
    <w:name w:val="footer"/>
    <w:basedOn w:val="Normal"/>
    <w:link w:val="FooterChar"/>
    <w:uiPriority w:val="99"/>
    <w:unhideWhenUsed/>
    <w:rsid w:val="002827BC"/>
    <w:pPr>
      <w:tabs>
        <w:tab w:val="center" w:pos="4680"/>
        <w:tab w:val="right" w:pos="9360"/>
      </w:tabs>
      <w:spacing w:after="0"/>
    </w:pPr>
  </w:style>
  <w:style w:type="character" w:customStyle="1" w:styleId="FooterChar">
    <w:name w:val="Footer Char"/>
    <w:basedOn w:val="DefaultParagraphFont"/>
    <w:link w:val="Footer"/>
    <w:uiPriority w:val="99"/>
    <w:rsid w:val="002827BC"/>
  </w:style>
  <w:style w:type="table" w:styleId="TableGrid">
    <w:name w:val="Table Grid"/>
    <w:basedOn w:val="TableNormal"/>
    <w:uiPriority w:val="59"/>
    <w:rsid w:val="00465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fidentialStatement">
    <w:name w:val="Confidential Statement"/>
    <w:basedOn w:val="Normal"/>
    <w:uiPriority w:val="99"/>
    <w:rsid w:val="004653F0"/>
    <w:pPr>
      <w:suppressAutoHyphens/>
      <w:autoSpaceDE w:val="0"/>
      <w:autoSpaceDN w:val="0"/>
      <w:adjustRightInd w:val="0"/>
      <w:spacing w:before="90" w:after="0" w:line="288" w:lineRule="auto"/>
      <w:jc w:val="right"/>
      <w:textAlignment w:val="center"/>
    </w:pPr>
    <w:rPr>
      <w:rFonts w:ascii="Arial Narrow" w:hAnsi="Arial Narrow" w:cs="Arial Narrow"/>
      <w:color w:val="000000"/>
      <w:sz w:val="12"/>
      <w:szCs w:val="12"/>
    </w:rPr>
  </w:style>
  <w:style w:type="character" w:customStyle="1" w:styleId="Heading4Char">
    <w:name w:val="Heading 4 Char"/>
    <w:basedOn w:val="DefaultParagraphFont"/>
    <w:link w:val="Heading4"/>
    <w:uiPriority w:val="9"/>
    <w:rsid w:val="00CF755F"/>
    <w:rPr>
      <w:rFonts w:ascii="Franklin Gothic Demi" w:eastAsia="Times New Roman" w:hAnsi="Franklin Gothic Demi" w:cs="Times New Roman"/>
      <w:bCs/>
      <w:caps/>
      <w:color w:val="365F91"/>
      <w:spacing w:val="30"/>
      <w:sz w:val="28"/>
      <w:szCs w:val="24"/>
      <w14:shadow w14:blurRad="50800" w14:dist="38100" w14:dir="2700000" w14:sx="100000" w14:sy="100000" w14:kx="0" w14:ky="0" w14:algn="tl">
        <w14:srgbClr w14:val="000000">
          <w14:alpha w14:val="60000"/>
        </w14:srgbClr>
      </w14:shadow>
    </w:rPr>
  </w:style>
  <w:style w:type="character" w:customStyle="1" w:styleId="Heading3Char">
    <w:name w:val="Heading 3 Char"/>
    <w:basedOn w:val="DefaultParagraphFont"/>
    <w:link w:val="Heading3"/>
    <w:uiPriority w:val="9"/>
    <w:semiHidden/>
    <w:rsid w:val="00CF755F"/>
    <w:rPr>
      <w:rFonts w:asciiTheme="majorHAnsi" w:eastAsiaTheme="majorEastAsia" w:hAnsiTheme="majorHAnsi" w:cstheme="majorBidi"/>
      <w:color w:val="323840" w:themeColor="accent1" w:themeShade="7F"/>
      <w:sz w:val="24"/>
      <w:szCs w:val="24"/>
    </w:rPr>
  </w:style>
  <w:style w:type="paragraph" w:customStyle="1" w:styleId="TableText">
    <w:name w:val="Table Text"/>
    <w:basedOn w:val="Normal"/>
    <w:qFormat/>
    <w:rsid w:val="008C5DFC"/>
    <w:pPr>
      <w:spacing w:after="0"/>
    </w:pPr>
    <w:rPr>
      <w:rFonts w:cs="Arial"/>
      <w:sz w:val="18"/>
      <w:szCs w:val="20"/>
    </w:rPr>
  </w:style>
  <w:style w:type="character" w:customStyle="1" w:styleId="Heading1Char">
    <w:name w:val="Heading 1 Char"/>
    <w:basedOn w:val="DefaultParagraphFont"/>
    <w:link w:val="Heading1"/>
    <w:uiPriority w:val="9"/>
    <w:rsid w:val="00CF755F"/>
    <w:rPr>
      <w:rFonts w:ascii="Corbel" w:eastAsiaTheme="majorEastAsia" w:hAnsi="Corbel" w:cstheme="majorBidi"/>
      <w:b/>
      <w:caps/>
      <w:color w:val="365F91"/>
      <w:sz w:val="48"/>
      <w:szCs w:val="32"/>
    </w:rPr>
  </w:style>
  <w:style w:type="paragraph" w:customStyle="1" w:styleId="PageHeading">
    <w:name w:val="Page Heading"/>
    <w:qFormat/>
    <w:rsid w:val="007B30CA"/>
    <w:pPr>
      <w:spacing w:after="90" w:line="240" w:lineRule="auto"/>
    </w:pPr>
    <w:rPr>
      <w:rFonts w:ascii="Corbel" w:hAnsi="Corbel"/>
      <w:b/>
      <w:caps/>
      <w:color w:val="365F91"/>
      <w:sz w:val="36"/>
      <w:szCs w:val="36"/>
    </w:rPr>
  </w:style>
  <w:style w:type="paragraph" w:customStyle="1" w:styleId="ParagraphHeading">
    <w:name w:val="Paragraph Heading"/>
    <w:basedOn w:val="PageHeading"/>
    <w:qFormat/>
    <w:rsid w:val="00A31332"/>
    <w:pPr>
      <w:spacing w:after="50"/>
    </w:pPr>
    <w:rPr>
      <w:sz w:val="26"/>
    </w:rPr>
  </w:style>
  <w:style w:type="paragraph" w:customStyle="1" w:styleId="ParagraphHeadingLevel2">
    <w:name w:val="Paragraph Heading Level 2"/>
    <w:basedOn w:val="ParagraphHeading"/>
    <w:qFormat/>
    <w:rsid w:val="00C81972"/>
    <w:rPr>
      <w:caps w:val="0"/>
      <w:color w:val="6A843B"/>
      <w:sz w:val="24"/>
    </w:rPr>
  </w:style>
  <w:style w:type="paragraph" w:customStyle="1" w:styleId="ParagraphHeadingLevel3">
    <w:name w:val="Paragraph Heading Level 3"/>
    <w:basedOn w:val="ParagraphHeadingLevel2"/>
    <w:qFormat/>
    <w:rsid w:val="00C81972"/>
    <w:rPr>
      <w:color w:val="4174B1"/>
      <w:sz w:val="22"/>
    </w:rPr>
  </w:style>
  <w:style w:type="paragraph" w:styleId="ListParagraph">
    <w:name w:val="List Paragraph"/>
    <w:basedOn w:val="Normal"/>
    <w:uiPriority w:val="34"/>
    <w:rsid w:val="008E492F"/>
    <w:pPr>
      <w:ind w:left="720"/>
      <w:contextualSpacing/>
    </w:pPr>
  </w:style>
  <w:style w:type="paragraph" w:customStyle="1" w:styleId="Bullets">
    <w:name w:val="Bullets"/>
    <w:basedOn w:val="Normal"/>
    <w:qFormat/>
    <w:rsid w:val="008459C8"/>
    <w:pPr>
      <w:numPr>
        <w:numId w:val="4"/>
      </w:numPr>
      <w:spacing w:after="160"/>
      <w:ind w:left="360" w:hanging="216"/>
    </w:pPr>
    <w:rPr>
      <w:szCs w:val="20"/>
    </w:rPr>
  </w:style>
  <w:style w:type="character" w:styleId="Hyperlink">
    <w:name w:val="Hyperlink"/>
    <w:basedOn w:val="DefaultParagraphFont"/>
    <w:unhideWhenUsed/>
    <w:qFormat/>
    <w:rsid w:val="00CD5D0D"/>
    <w:rPr>
      <w:color w:val="0070C0"/>
      <w:u w:val="single"/>
    </w:rPr>
  </w:style>
  <w:style w:type="character" w:customStyle="1" w:styleId="Heading5Char">
    <w:name w:val="Heading 5 Char"/>
    <w:basedOn w:val="DefaultParagraphFont"/>
    <w:link w:val="Heading5"/>
    <w:uiPriority w:val="9"/>
    <w:semiHidden/>
    <w:rsid w:val="000B5244"/>
    <w:rPr>
      <w:rFonts w:asciiTheme="majorHAnsi" w:eastAsiaTheme="majorEastAsia" w:hAnsiTheme="majorHAnsi" w:cstheme="majorBidi"/>
      <w:color w:val="4B5561" w:themeColor="accent1" w:themeShade="BF"/>
      <w:sz w:val="22"/>
    </w:rPr>
  </w:style>
  <w:style w:type="character" w:customStyle="1" w:styleId="Heading6Char">
    <w:name w:val="Heading 6 Char"/>
    <w:basedOn w:val="DefaultParagraphFont"/>
    <w:link w:val="Heading6"/>
    <w:uiPriority w:val="9"/>
    <w:semiHidden/>
    <w:rsid w:val="000B5244"/>
    <w:rPr>
      <w:rFonts w:asciiTheme="majorHAnsi" w:eastAsiaTheme="majorEastAsia" w:hAnsiTheme="majorHAnsi" w:cstheme="majorBidi"/>
      <w:color w:val="323840" w:themeColor="accent1" w:themeShade="7F"/>
      <w:sz w:val="22"/>
    </w:rPr>
  </w:style>
  <w:style w:type="character" w:styleId="CommentReference">
    <w:name w:val="annotation reference"/>
    <w:uiPriority w:val="99"/>
    <w:semiHidden/>
    <w:unhideWhenUsed/>
    <w:rsid w:val="000B5244"/>
    <w:rPr>
      <w:sz w:val="16"/>
      <w:szCs w:val="16"/>
    </w:rPr>
  </w:style>
  <w:style w:type="paragraph" w:customStyle="1" w:styleId="BulletHeadingParagraph">
    <w:name w:val="Bullet Heading Paragraph"/>
    <w:basedOn w:val="Normal"/>
    <w:qFormat/>
    <w:rsid w:val="00DB76A5"/>
    <w:pPr>
      <w:spacing w:after="90"/>
    </w:pPr>
  </w:style>
  <w:style w:type="character" w:customStyle="1" w:styleId="Heading2Char">
    <w:name w:val="Heading 2 Char"/>
    <w:basedOn w:val="DefaultParagraphFont"/>
    <w:link w:val="Heading2"/>
    <w:uiPriority w:val="9"/>
    <w:semiHidden/>
    <w:rsid w:val="004D7EF1"/>
    <w:rPr>
      <w:rFonts w:asciiTheme="majorHAnsi" w:eastAsiaTheme="majorEastAsia" w:hAnsiTheme="majorHAnsi" w:cstheme="majorBidi"/>
      <w:color w:val="4B5561" w:themeColor="accent1" w:themeShade="BF"/>
      <w:sz w:val="26"/>
      <w:szCs w:val="26"/>
    </w:rPr>
  </w:style>
  <w:style w:type="paragraph" w:styleId="BodyText">
    <w:name w:val="Body Text"/>
    <w:basedOn w:val="Normal"/>
    <w:link w:val="BodyTextChar"/>
    <w:semiHidden/>
    <w:rsid w:val="00520BF0"/>
    <w:pPr>
      <w:spacing w:after="0"/>
      <w:ind w:right="195"/>
    </w:pPr>
    <w:rPr>
      <w:rFonts w:ascii="Times New Roman" w:eastAsia="Times New Roman" w:hAnsi="Times New Roman" w:cs="Times New Roman"/>
      <w:sz w:val="24"/>
      <w:szCs w:val="24"/>
    </w:rPr>
  </w:style>
  <w:style w:type="character" w:customStyle="1" w:styleId="BodyTextChar">
    <w:name w:val="Body Text Char"/>
    <w:basedOn w:val="DefaultParagraphFont"/>
    <w:link w:val="BodyText"/>
    <w:semiHidden/>
    <w:rsid w:val="00520BF0"/>
    <w:rPr>
      <w:rFonts w:ascii="Times New Roman" w:eastAsia="Times New Roman" w:hAnsi="Times New Roman" w:cs="Times New Roman"/>
      <w:sz w:val="24"/>
      <w:szCs w:val="24"/>
    </w:rPr>
  </w:style>
  <w:style w:type="paragraph" w:styleId="BodyTextIndent">
    <w:name w:val="Body Text Indent"/>
    <w:basedOn w:val="Normal"/>
    <w:link w:val="BodyTextIndentChar"/>
    <w:semiHidden/>
    <w:rsid w:val="00520BF0"/>
    <w:pPr>
      <w:spacing w:after="0"/>
      <w:ind w:left="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semiHidden/>
    <w:rsid w:val="00520BF0"/>
    <w:rPr>
      <w:rFonts w:ascii="Times New Roman" w:eastAsia="Times New Roman" w:hAnsi="Times New Roman" w:cs="Times New Roman"/>
      <w:sz w:val="24"/>
      <w:szCs w:val="24"/>
    </w:rPr>
  </w:style>
  <w:style w:type="paragraph" w:styleId="BodyText2">
    <w:name w:val="Body Text 2"/>
    <w:basedOn w:val="Normal"/>
    <w:link w:val="BodyText2Char"/>
    <w:uiPriority w:val="99"/>
    <w:semiHidden/>
    <w:unhideWhenUsed/>
    <w:rsid w:val="00520BF0"/>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520BF0"/>
    <w:rPr>
      <w:rFonts w:ascii="Times New Roman" w:eastAsia="Times New Roman" w:hAnsi="Times New Roman" w:cs="Times New Roman"/>
      <w:sz w:val="24"/>
      <w:szCs w:val="24"/>
    </w:rPr>
  </w:style>
  <w:style w:type="paragraph" w:styleId="BodyTextIndent2">
    <w:name w:val="Body Text Indent 2"/>
    <w:basedOn w:val="Normal"/>
    <w:link w:val="BodyTextIndent2Char"/>
    <w:uiPriority w:val="99"/>
    <w:semiHidden/>
    <w:unhideWhenUsed/>
    <w:rsid w:val="00520BF0"/>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uiPriority w:val="99"/>
    <w:semiHidden/>
    <w:rsid w:val="00520BF0"/>
    <w:rPr>
      <w:rFonts w:ascii="Times New Roman" w:eastAsia="Times New Roman" w:hAnsi="Times New Roman" w:cs="Times New Roman"/>
      <w:sz w:val="24"/>
      <w:szCs w:val="24"/>
    </w:rPr>
  </w:style>
  <w:style w:type="paragraph" w:customStyle="1" w:styleId="NumberedBullets">
    <w:name w:val="Numbered Bullets"/>
    <w:basedOn w:val="Bullets"/>
    <w:qFormat/>
    <w:rsid w:val="004138A0"/>
    <w:pPr>
      <w:numPr>
        <w:numId w:val="10"/>
      </w:numPr>
      <w:ind w:left="360" w:hanging="216"/>
    </w:pPr>
  </w:style>
  <w:style w:type="paragraph" w:customStyle="1" w:styleId="Bullets9pt">
    <w:name w:val="Bullets (9pt)"/>
    <w:basedOn w:val="Bullets"/>
    <w:qFormat/>
    <w:rsid w:val="00322EFF"/>
    <w:pPr>
      <w:spacing w:after="80"/>
      <w:ind w:left="288" w:hanging="173"/>
    </w:pPr>
    <w:rPr>
      <w:sz w:val="18"/>
      <w:szCs w:val="18"/>
    </w:rPr>
  </w:style>
  <w:style w:type="character" w:styleId="FollowedHyperlink">
    <w:name w:val="FollowedHyperlink"/>
    <w:basedOn w:val="DefaultParagraphFont"/>
    <w:uiPriority w:val="99"/>
    <w:semiHidden/>
    <w:unhideWhenUsed/>
    <w:rsid w:val="003A5A2D"/>
    <w:rPr>
      <w:color w:val="C7C8CA" w:themeColor="followedHyperlink"/>
      <w:u w:val="single"/>
    </w:rPr>
  </w:style>
  <w:style w:type="paragraph" w:styleId="BalloonText">
    <w:name w:val="Balloon Text"/>
    <w:basedOn w:val="Normal"/>
    <w:link w:val="BalloonTextChar"/>
    <w:uiPriority w:val="99"/>
    <w:semiHidden/>
    <w:unhideWhenUsed/>
    <w:rsid w:val="00D03BA5"/>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3BA5"/>
    <w:rPr>
      <w:rFonts w:ascii="Segoe UI" w:hAnsi="Segoe UI" w:cs="Segoe UI"/>
      <w:sz w:val="18"/>
      <w:szCs w:val="18"/>
    </w:rPr>
  </w:style>
  <w:style w:type="paragraph" w:customStyle="1" w:styleId="FactSheetHeading">
    <w:name w:val="Fact Sheet Heading"/>
    <w:qFormat/>
    <w:rsid w:val="00A83029"/>
    <w:pPr>
      <w:spacing w:before="120" w:after="100" w:afterAutospacing="1" w:line="240" w:lineRule="auto"/>
    </w:pPr>
    <w:rPr>
      <w:rFonts w:ascii="Corbel" w:hAnsi="Corbel"/>
      <w:b/>
      <w:caps/>
      <w:noProof/>
      <w:sz w:val="36"/>
      <w:szCs w:val="36"/>
    </w:rPr>
  </w:style>
  <w:style w:type="paragraph" w:customStyle="1" w:styleId="CalloutBoxText">
    <w:name w:val="Callout Box Text"/>
    <w:basedOn w:val="Normal"/>
    <w:qFormat/>
    <w:rsid w:val="00C007B5"/>
    <w:pPr>
      <w:spacing w:after="90"/>
    </w:pPr>
    <w:rPr>
      <w:color w:val="365F91" w:themeColor="accent4"/>
      <w:sz w:val="18"/>
    </w:rPr>
  </w:style>
  <w:style w:type="paragraph" w:customStyle="1" w:styleId="CalloutBoxBullets">
    <w:name w:val="Callout Box Bullets"/>
    <w:basedOn w:val="Bullets9pt"/>
    <w:qFormat/>
    <w:rsid w:val="00322EFF"/>
    <w:rPr>
      <w:color w:val="365F91" w:themeColor="accent4"/>
    </w:rPr>
  </w:style>
  <w:style w:type="character" w:customStyle="1" w:styleId="CustomizableText">
    <w:name w:val="Customizable Text"/>
    <w:uiPriority w:val="1"/>
    <w:qFormat/>
    <w:rsid w:val="00E24926"/>
    <w:rPr>
      <w:color w:val="FF0000"/>
    </w:rPr>
  </w:style>
  <w:style w:type="paragraph" w:customStyle="1" w:styleId="TableHeader">
    <w:name w:val="Table Header"/>
    <w:basedOn w:val="TableText"/>
    <w:qFormat/>
    <w:rsid w:val="008C5DFC"/>
    <w:rPr>
      <w:caps/>
      <w:color w:val="FFFFFF" w:themeColor="background1"/>
      <w:sz w:val="20"/>
    </w:rPr>
  </w:style>
  <w:style w:type="paragraph" w:styleId="FootnoteText">
    <w:name w:val="footnote text"/>
    <w:basedOn w:val="Normal"/>
    <w:link w:val="FootnoteTextChar"/>
    <w:uiPriority w:val="99"/>
    <w:semiHidden/>
    <w:unhideWhenUsed/>
    <w:rsid w:val="001845C9"/>
    <w:pPr>
      <w:spacing w:after="0"/>
    </w:pPr>
    <w:rPr>
      <w:szCs w:val="20"/>
    </w:rPr>
  </w:style>
  <w:style w:type="character" w:customStyle="1" w:styleId="FootnoteTextChar">
    <w:name w:val="Footnote Text Char"/>
    <w:basedOn w:val="DefaultParagraphFont"/>
    <w:link w:val="FootnoteText"/>
    <w:uiPriority w:val="99"/>
    <w:semiHidden/>
    <w:rsid w:val="001845C9"/>
    <w:rPr>
      <w:rFonts w:ascii="Corbel" w:hAnsi="Corbel"/>
      <w:szCs w:val="20"/>
    </w:rPr>
  </w:style>
  <w:style w:type="character" w:styleId="FootnoteReference">
    <w:name w:val="footnote reference"/>
    <w:basedOn w:val="DefaultParagraphFont"/>
    <w:uiPriority w:val="99"/>
    <w:semiHidden/>
    <w:unhideWhenUsed/>
    <w:rsid w:val="001845C9"/>
    <w:rPr>
      <w:vertAlign w:val="superscript"/>
    </w:rPr>
  </w:style>
  <w:style w:type="paragraph" w:customStyle="1" w:styleId="Footnote">
    <w:name w:val="Footnote"/>
    <w:basedOn w:val="Normal"/>
    <w:qFormat/>
    <w:rsid w:val="001845C9"/>
    <w:rPr>
      <w:color w:val="7F7F7F" w:themeColor="accent5" w:themeTint="80"/>
      <w:sz w:val="16"/>
      <w:szCs w:val="16"/>
    </w:rPr>
  </w:style>
  <w:style w:type="table" w:customStyle="1" w:styleId="GADNRGreenTable2">
    <w:name w:val="GA DNR Green Table2"/>
    <w:basedOn w:val="TableNormal"/>
    <w:uiPriority w:val="99"/>
    <w:rsid w:val="008C5DFC"/>
    <w:pPr>
      <w:spacing w:after="0" w:line="240" w:lineRule="auto"/>
    </w:pPr>
    <w:tblPr>
      <w:tblStyleRowBandSize w:val="1"/>
      <w:tblBorders>
        <w:top w:val="single" w:sz="4" w:space="0" w:color="7B9451" w:themeColor="accent2"/>
        <w:bottom w:val="single" w:sz="4" w:space="0" w:color="7B9451" w:themeColor="accent2"/>
        <w:insideH w:val="single" w:sz="4" w:space="0" w:color="7B9451" w:themeColor="accent2"/>
        <w:insideV w:val="single" w:sz="4" w:space="0" w:color="7B9451" w:themeColor="accent2"/>
      </w:tblBorders>
      <w:tblCellMar>
        <w:top w:w="86" w:type="dxa"/>
        <w:left w:w="86" w:type="dxa"/>
        <w:bottom w:w="86" w:type="dxa"/>
        <w:right w:w="86" w:type="dxa"/>
      </w:tblCellMar>
    </w:tblPr>
    <w:tblStylePr w:type="firstRow">
      <w:rPr>
        <w:rFonts w:ascii="Corbel" w:hAnsi="Corbel"/>
        <w:b/>
        <w:color w:val="FFFFFF" w:themeColor="background1"/>
        <w:sz w:val="20"/>
      </w:rPr>
      <w:tblPr/>
      <w:tcPr>
        <w:tcBorders>
          <w:insideH w:val="single" w:sz="4" w:space="0" w:color="FFFFFF" w:themeColor="background1"/>
          <w:insideV w:val="single" w:sz="4" w:space="0" w:color="FFFFFF" w:themeColor="background1"/>
        </w:tcBorders>
        <w:shd w:val="clear" w:color="auto" w:fill="7B9451" w:themeFill="accent2"/>
      </w:tcPr>
    </w:tblStylePr>
    <w:tblStylePr w:type="band1Horz">
      <w:tblPr/>
      <w:tcPr>
        <w:shd w:val="clear" w:color="auto" w:fill="FFFFFF" w:themeFill="background1"/>
      </w:tcPr>
    </w:tblStylePr>
    <w:tblStylePr w:type="band2Horz">
      <w:tblPr/>
      <w:tcPr>
        <w:shd w:val="clear" w:color="auto" w:fill="E4EBDA"/>
      </w:tcPr>
    </w:tblStylePr>
  </w:style>
  <w:style w:type="character" w:styleId="UnresolvedMention">
    <w:name w:val="Unresolved Mention"/>
    <w:basedOn w:val="DefaultParagraphFont"/>
    <w:uiPriority w:val="99"/>
    <w:semiHidden/>
    <w:unhideWhenUsed/>
    <w:rsid w:val="005841D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2648409">
      <w:bodyDiv w:val="1"/>
      <w:marLeft w:val="0"/>
      <w:marRight w:val="0"/>
      <w:marTop w:val="0"/>
      <w:marBottom w:val="0"/>
      <w:divBdr>
        <w:top w:val="none" w:sz="0" w:space="0" w:color="auto"/>
        <w:left w:val="none" w:sz="0" w:space="0" w:color="auto"/>
        <w:bottom w:val="none" w:sz="0" w:space="0" w:color="auto"/>
        <w:right w:val="none" w:sz="0" w:space="0" w:color="auto"/>
      </w:divBdr>
      <w:divsChild>
        <w:div w:id="260142251">
          <w:marLeft w:val="547"/>
          <w:marRight w:val="0"/>
          <w:marTop w:val="0"/>
          <w:marBottom w:val="0"/>
          <w:divBdr>
            <w:top w:val="none" w:sz="0" w:space="0" w:color="auto"/>
            <w:left w:val="none" w:sz="0" w:space="0" w:color="auto"/>
            <w:bottom w:val="none" w:sz="0" w:space="0" w:color="auto"/>
            <w:right w:val="none" w:sz="0" w:space="0" w:color="auto"/>
          </w:divBdr>
        </w:div>
        <w:div w:id="11346435">
          <w:marLeft w:val="547"/>
          <w:marRight w:val="0"/>
          <w:marTop w:val="0"/>
          <w:marBottom w:val="0"/>
          <w:divBdr>
            <w:top w:val="none" w:sz="0" w:space="0" w:color="auto"/>
            <w:left w:val="none" w:sz="0" w:space="0" w:color="auto"/>
            <w:bottom w:val="none" w:sz="0" w:space="0" w:color="auto"/>
            <w:right w:val="none" w:sz="0" w:space="0" w:color="auto"/>
          </w:divBdr>
        </w:div>
        <w:div w:id="1134832251">
          <w:marLeft w:val="547"/>
          <w:marRight w:val="0"/>
          <w:marTop w:val="0"/>
          <w:marBottom w:val="0"/>
          <w:divBdr>
            <w:top w:val="none" w:sz="0" w:space="0" w:color="auto"/>
            <w:left w:val="none" w:sz="0" w:space="0" w:color="auto"/>
            <w:bottom w:val="none" w:sz="0" w:space="0" w:color="auto"/>
            <w:right w:val="none" w:sz="0" w:space="0" w:color="auto"/>
          </w:divBdr>
        </w:div>
        <w:div w:id="254554595">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FEMA.gov/NFI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fema.gov/letter-map-change" TargetMode="External"/><Relationship Id="rId14" Type="http://schemas.openxmlformats.org/officeDocument/2006/relationships/hyperlink" Target="http://www.FEMA.gov/NFIP"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GA DNR CTP">
      <a:dk1>
        <a:sysClr val="windowText" lastClr="000000"/>
      </a:dk1>
      <a:lt1>
        <a:sysClr val="window" lastClr="FFFFFF"/>
      </a:lt1>
      <a:dk2>
        <a:srgbClr val="87A5CB"/>
      </a:dk2>
      <a:lt2>
        <a:srgbClr val="6CCBE9"/>
      </a:lt2>
      <a:accent1>
        <a:srgbClr val="657282"/>
      </a:accent1>
      <a:accent2>
        <a:srgbClr val="7B9451"/>
      </a:accent2>
      <a:accent3>
        <a:srgbClr val="6A843B"/>
      </a:accent3>
      <a:accent4>
        <a:srgbClr val="365F91"/>
      </a:accent4>
      <a:accent5>
        <a:srgbClr val="000000"/>
      </a:accent5>
      <a:accent6>
        <a:srgbClr val="969696"/>
      </a:accent6>
      <a:hlink>
        <a:srgbClr val="646464"/>
      </a:hlink>
      <a:folHlink>
        <a:srgbClr val="C7C8CA"/>
      </a:folHlink>
    </a:clrScheme>
    <a:fontScheme name="Dewberry">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C2AF0E-5F68-4F11-B57D-4AFFF1FAD1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2</Pages>
  <Words>960</Words>
  <Characters>5473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Post-Preliminary Fact Sheet</vt:lpstr>
    </vt:vector>
  </TitlesOfParts>
  <Company>Bender Consulting Services, Inc.</Company>
  <LinksUpToDate>false</LinksUpToDate>
  <CharactersWithSpaces>6421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Post-Preliminary Fact Sheet</dc:title>
  <dc:subject/>
  <dc:creator>Bruce A. Bender, CFM</dc:creator>
  <cp:keywords/>
  <dc:description/>
  <cp:lastModifiedBy>Bruce Bender</cp:lastModifiedBy>
  <cp:revision>23</cp:revision>
  <cp:lastPrinted>2017-02-16T15:19:00Z</cp:lastPrinted>
  <dcterms:created xsi:type="dcterms:W3CDTF">2017-02-16T14:45:00Z</dcterms:created>
  <dcterms:modified xsi:type="dcterms:W3CDTF">2017-11-17T01:26:00Z</dcterms:modified>
</cp:coreProperties>
</file>