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AB145" w14:textId="4C864248" w:rsidR="00E24926" w:rsidRPr="00E24926" w:rsidRDefault="0078268A" w:rsidP="00CB66C2">
      <w:pPr>
        <w:pStyle w:val="ParagraphHeading"/>
      </w:pPr>
      <w:r w:rsidRPr="00E24926">
        <w:rPr>
          <w:noProof/>
        </w:rPr>
        <w:drawing>
          <wp:anchor distT="0" distB="0" distL="114300" distR="114300" simplePos="0" relativeHeight="251660288" behindDoc="1" locked="0" layoutInCell="1" allowOverlap="1" wp14:anchorId="68DAF0AD" wp14:editId="069EDF2E">
            <wp:simplePos x="0" y="0"/>
            <wp:positionH relativeFrom="margin">
              <wp:align>right</wp:align>
            </wp:positionH>
            <wp:positionV relativeFrom="paragraph">
              <wp:posOffset>166</wp:posOffset>
            </wp:positionV>
            <wp:extent cx="3089910" cy="1820545"/>
            <wp:effectExtent l="0" t="0" r="0" b="8255"/>
            <wp:wrapTight wrapText="bothSides">
              <wp:wrapPolygon edited="0">
                <wp:start x="0" y="0"/>
                <wp:lineTo x="0" y="21472"/>
                <wp:lineTo x="21440" y="21472"/>
                <wp:lineTo x="21440" y="0"/>
                <wp:lineTo x="0" y="0"/>
              </wp:wrapPolygon>
            </wp:wrapTight>
            <wp:docPr id="82" name="Picture 5" descr="TS Allison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 Allison -L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912" b="8868"/>
                    <a:stretch/>
                  </pic:blipFill>
                  <pic:spPr bwMode="auto">
                    <a:xfrm>
                      <a:off x="0" y="0"/>
                      <a:ext cx="3089910" cy="1820545"/>
                    </a:xfrm>
                    <a:prstGeom prst="rect">
                      <a:avLst/>
                    </a:prstGeom>
                    <a:noFill/>
                    <a:ln>
                      <a:noFill/>
                    </a:ln>
                    <a:extLst>
                      <a:ext uri="{53640926-AAD7-44D8-BBD7-CCE9431645EC}">
                        <a14:shadowObscured xmlns:a14="http://schemas.microsoft.com/office/drawing/2010/main"/>
                      </a:ext>
                    </a:extLst>
                  </pic:spPr>
                </pic:pic>
              </a:graphicData>
            </a:graphic>
          </wp:anchor>
        </w:drawing>
      </w:r>
      <w:r w:rsidR="00E24926" w:rsidRPr="00E24926">
        <w:t>NEW FLOOD MAPS TO BE ISSUED</w:t>
      </w:r>
    </w:p>
    <w:p w14:paraId="6C85CD9A" w14:textId="77777777" w:rsidR="00464FCC" w:rsidRDefault="00464FCC" w:rsidP="00E24926">
      <w:pPr>
        <w:sectPr w:rsidR="00464FCC" w:rsidSect="0078268A">
          <w:footerReference w:type="default" r:id="rId9"/>
          <w:headerReference w:type="first" r:id="rId10"/>
          <w:footerReference w:type="first" r:id="rId11"/>
          <w:type w:val="continuous"/>
          <w:pgSz w:w="12240" w:h="15840"/>
          <w:pgMar w:top="1080" w:right="1080" w:bottom="1800" w:left="1080" w:header="864" w:footer="547" w:gutter="0"/>
          <w:cols w:num="2" w:space="360"/>
          <w:titlePg/>
          <w:docGrid w:linePitch="360"/>
        </w:sectPr>
      </w:pPr>
    </w:p>
    <w:p w14:paraId="3C0F7344" w14:textId="21C9084E" w:rsidR="00E24926" w:rsidRPr="00E24926" w:rsidRDefault="00E24926" w:rsidP="00E24926">
      <w:r w:rsidRPr="00E24926">
        <w:t xml:space="preserve">New flood hazard maps, known as Flood Insurance Rate Maps (FIRMs), </w:t>
      </w:r>
      <w:r w:rsidR="00F65BE8">
        <w:t xml:space="preserve">are being </w:t>
      </w:r>
      <w:r w:rsidRPr="00E24926">
        <w:t xml:space="preserve">issued </w:t>
      </w:r>
      <w:r w:rsidR="00F65BE8">
        <w:t>for your c</w:t>
      </w:r>
      <w:r w:rsidRPr="00E24926">
        <w:t xml:space="preserve">ounty. In cooperation with </w:t>
      </w:r>
      <w:r w:rsidR="00F65BE8">
        <w:t xml:space="preserve">your community </w:t>
      </w:r>
      <w:r w:rsidRPr="00E24926">
        <w:t xml:space="preserve">and other local communities, </w:t>
      </w:r>
      <w:r w:rsidR="00AF7903" w:rsidRPr="00E24926">
        <w:t>the Georgia Department of Natural Resources (GA DNR) and the Federal Emergency Management Agency (FEMA) developed the maps</w:t>
      </w:r>
      <w:r w:rsidR="009044DB">
        <w:t>. They are</w:t>
      </w:r>
      <w:r w:rsidRPr="00E24926">
        <w:t xml:space="preserve"> based on the latest digital mapping technology using the best data available. </w:t>
      </w:r>
    </w:p>
    <w:p w14:paraId="37C5D151" w14:textId="25C332F2" w:rsidR="00E24926" w:rsidRPr="00E24926" w:rsidRDefault="00E24926" w:rsidP="00E24926">
      <w:r w:rsidRPr="00E24926">
        <w:t xml:space="preserve">This completes a multi-year effort to update the existing flood maps that were </w:t>
      </w:r>
      <w:r w:rsidR="009044DB">
        <w:t>developed using</w:t>
      </w:r>
      <w:r w:rsidRPr="00E24926">
        <w:t xml:space="preserve"> </w:t>
      </w:r>
      <w:r w:rsidR="00F65BE8">
        <w:t xml:space="preserve">older </w:t>
      </w:r>
      <w:r w:rsidRPr="00E24926">
        <w:t xml:space="preserve">data and no longer represented </w:t>
      </w:r>
      <w:r w:rsidR="00F65BE8">
        <w:t xml:space="preserve">your community’s </w:t>
      </w:r>
      <w:r w:rsidRPr="00E24926">
        <w:t>current flood risk. As part of this process, residents and business owners have had the opportunity to meet with community and GA DNR officials to discuss the maps and to provide comments. All appeals and comments have been addressed and incorporated where they provided better information than what was shown on the preliminary flood map and flood insurance study.</w:t>
      </w:r>
    </w:p>
    <w:p w14:paraId="3AFBF38E" w14:textId="35447196" w:rsidR="00E24926" w:rsidRDefault="00D53C5B" w:rsidP="00E24926">
      <w:r>
        <w:t xml:space="preserve">The new maps will show—on a </w:t>
      </w:r>
      <w:r w:rsidR="00316C3E">
        <w:t>property-by-property</w:t>
      </w:r>
      <w:r w:rsidR="00E576A1">
        <w:t xml:space="preserve"> basis</w:t>
      </w:r>
      <w:r>
        <w:t>—</w:t>
      </w:r>
      <w:r w:rsidR="00E24926" w:rsidRPr="00E24926">
        <w:t xml:space="preserve">the extent to which areas of the county are currently at risk for flooding. When the maps become effective, residents and business owners in many parts of the county may find that their flood risk is higher, or lower, than they thought. </w:t>
      </w:r>
    </w:p>
    <w:p w14:paraId="37FE2700" w14:textId="7E6681F4" w:rsidR="00464FCC" w:rsidRPr="00E24926" w:rsidRDefault="00464FCC" w:rsidP="00464FCC">
      <w:pPr>
        <w:pStyle w:val="ParagraphHeading"/>
      </w:pPr>
      <w:r w:rsidRPr="00E24926">
        <w:t xml:space="preserve">CHANGES IN </w:t>
      </w:r>
      <w:r>
        <w:t xml:space="preserve">FLOOD </w:t>
      </w:r>
      <w:r w:rsidRPr="00E24926">
        <w:t>INSURANCE REQUIREMENTS</w:t>
      </w:r>
    </w:p>
    <w:p w14:paraId="2C2AF841" w14:textId="6DEFFADF" w:rsidR="00464FCC" w:rsidRDefault="00464FCC" w:rsidP="00464FCC">
      <w:r w:rsidRPr="00E24926">
        <w:t>As the flood hazards change on the map, so will requirements for flood insurance and construction. Some property owners with mortgages that are newly mapped into high-risk areas may be required to carry flood insurance as a part of their mortgage agreement.</w:t>
      </w:r>
    </w:p>
    <w:p w14:paraId="23AB1DD7" w14:textId="0A66A20A" w:rsidR="00E24926" w:rsidRPr="00E24926" w:rsidRDefault="00464FCC" w:rsidP="00464FCC">
      <w:r w:rsidRPr="00E24926">
        <w:t xml:space="preserve">Property owners having to purchase flood insurance may be able to save money through </w:t>
      </w:r>
      <w:r>
        <w:t xml:space="preserve">a </w:t>
      </w:r>
      <w:r w:rsidRPr="00E24926">
        <w:t>cost-saving option through the National Flood Insurance Program (NFIP).</w:t>
      </w:r>
      <w:r>
        <w:t xml:space="preserve"> </w:t>
      </w:r>
      <w:r w:rsidRPr="00E24926">
        <w:t xml:space="preserve">For example, buildings now newly identified to be in a high-risk </w:t>
      </w:r>
      <w:r w:rsidRPr="00C060E4">
        <w:t>may be eligible for a Newly Mapped discount if</w:t>
      </w:r>
      <w:r>
        <w:t xml:space="preserve"> </w:t>
      </w:r>
      <w:r w:rsidRPr="00C060E4">
        <w:t>flood insurance</w:t>
      </w:r>
      <w:r>
        <w:t xml:space="preserve"> is purchased </w:t>
      </w:r>
      <w:r w:rsidRPr="00C060E4">
        <w:t>within the first 12 months after the map change</w:t>
      </w:r>
      <w:r>
        <w:t xml:space="preserve"> is effective</w:t>
      </w:r>
      <w:r w:rsidRPr="00C060E4">
        <w:t xml:space="preserve">. Premiums will then go up no more than 18% each year until </w:t>
      </w:r>
      <w:r>
        <w:t>they reach</w:t>
      </w:r>
      <w:r w:rsidRPr="00C060E4">
        <w:t xml:space="preserve"> full-risk rate. If </w:t>
      </w:r>
      <w:r>
        <w:t>the</w:t>
      </w:r>
      <w:r w:rsidRPr="00C060E4">
        <w:t xml:space="preserve"> building</w:t>
      </w:r>
      <w:r>
        <w:t xml:space="preserve"> is sold</w:t>
      </w:r>
      <w:r w:rsidRPr="00C060E4">
        <w:t xml:space="preserve">, </w:t>
      </w:r>
      <w:r>
        <w:t>the NFIP</w:t>
      </w:r>
      <w:r w:rsidRPr="00C060E4">
        <w:t xml:space="preserve"> policy</w:t>
      </w:r>
      <w:r>
        <w:t xml:space="preserve"> can be transferred</w:t>
      </w:r>
      <w:r w:rsidRPr="00C060E4">
        <w:t xml:space="preserve"> to the new owner</w:t>
      </w:r>
      <w:r>
        <w:t>. This allows the new owner to</w:t>
      </w:r>
      <w:r w:rsidRPr="00C060E4">
        <w:t xml:space="preserve"> continue to get the benefit of this rating option if the premium has not reached the full-risk rate.</w:t>
      </w:r>
    </w:p>
    <w:p w14:paraId="23718C3E" w14:textId="28011EA7" w:rsidR="00E24926" w:rsidRPr="00E24926" w:rsidRDefault="00AB1E44" w:rsidP="00E24926">
      <w:r>
        <w:t>The mapping of buildings</w:t>
      </w:r>
      <w:r w:rsidR="00E24926" w:rsidRPr="00E24926">
        <w:t xml:space="preserve"> from a high to higher risk zone (e.g., Zone AE to Zone VE) or have an increase in Base </w:t>
      </w:r>
      <w:r w:rsidR="00464FCC">
        <w:t>f</w:t>
      </w:r>
      <w:r w:rsidR="00E24926" w:rsidRPr="00E24926">
        <w:t>lood Elevation (BFE)</w:t>
      </w:r>
      <w:r w:rsidR="00FB5424">
        <w:rPr>
          <w:rStyle w:val="FootnoteReference"/>
        </w:rPr>
        <w:footnoteReference w:id="1"/>
      </w:r>
      <w:r w:rsidR="001845C9">
        <w:t xml:space="preserve"> </w:t>
      </w:r>
      <w:r w:rsidR="00B46EFE">
        <w:t>do</w:t>
      </w:r>
      <w:r>
        <w:t>es</w:t>
      </w:r>
      <w:r w:rsidR="00B46EFE">
        <w:t xml:space="preserve"> not affect the</w:t>
      </w:r>
      <w:r w:rsidR="00B46EFE" w:rsidRPr="00FF4A6D">
        <w:t xml:space="preserve"> full-risk premium</w:t>
      </w:r>
      <w:r w:rsidR="003E1638">
        <w:t>. This is because</w:t>
      </w:r>
      <w:r w:rsidR="00B46EFE" w:rsidRPr="00FF4A6D">
        <w:t xml:space="preserve"> all</w:t>
      </w:r>
      <w:r w:rsidR="003E1638">
        <w:t xml:space="preserve"> NFIP flood insurance</w:t>
      </w:r>
      <w:r w:rsidR="00B46EFE" w:rsidRPr="00FF4A6D">
        <w:t xml:space="preserve"> rates are determined based on your property’s unique flood risk, regardless of</w:t>
      </w:r>
      <w:r w:rsidR="00852899">
        <w:t xml:space="preserve"> flood</w:t>
      </w:r>
      <w:r w:rsidR="00B46EFE" w:rsidRPr="00FF4A6D">
        <w:t xml:space="preserve"> zone</w:t>
      </w:r>
      <w:r>
        <w:t xml:space="preserve"> or BFE</w:t>
      </w:r>
      <w:r w:rsidR="00E24926" w:rsidRPr="00E24926">
        <w:t xml:space="preserve">. </w:t>
      </w:r>
    </w:p>
    <w:p w14:paraId="561DFAF7" w14:textId="21C7746F" w:rsidR="00E24926" w:rsidRPr="00E24926" w:rsidRDefault="008711FD" w:rsidP="00E24926">
      <w:r>
        <w:t>Buildings</w:t>
      </w:r>
      <w:r w:rsidR="00E24926" w:rsidRPr="00E24926">
        <w:t xml:space="preserve"> </w:t>
      </w:r>
      <w:r w:rsidR="00E576A1">
        <w:t>no longer identified to be in a</w:t>
      </w:r>
      <w:r w:rsidR="00E24926" w:rsidRPr="00E24926">
        <w:t xml:space="preserve"> high-risk flood area </w:t>
      </w:r>
      <w:r w:rsidR="00E576A1">
        <w:t>but in a</w:t>
      </w:r>
      <w:r w:rsidR="00E24926" w:rsidRPr="00E24926">
        <w:t xml:space="preserve"> lower risk area will no longer be federally required to carry flood insurance. </w:t>
      </w:r>
      <w:r w:rsidR="00E325FE">
        <w:t>While flood insurance costs may not change</w:t>
      </w:r>
      <w:r w:rsidR="00E24926" w:rsidRPr="00E24926">
        <w:t>, flood insurance is</w:t>
      </w:r>
      <w:r w:rsidR="00E325FE">
        <w:t xml:space="preserve"> still</w:t>
      </w:r>
      <w:r w:rsidR="00E24926" w:rsidRPr="00E24926">
        <w:t xml:space="preserve"> recommended, because the risk for flooding has only been </w:t>
      </w:r>
      <w:r w:rsidR="00E24926" w:rsidRPr="00F8608C">
        <w:rPr>
          <w:b/>
        </w:rPr>
        <w:t>reduced, not removed</w:t>
      </w:r>
      <w:r w:rsidR="00E24926" w:rsidRPr="00E24926">
        <w:t xml:space="preserve">. More than 35 percent of all Georgia flood claims </w:t>
      </w:r>
      <w:r w:rsidR="00852899">
        <w:t>come from policyholders in</w:t>
      </w:r>
      <w:r w:rsidR="00E24926" w:rsidRPr="00E24926">
        <w:t xml:space="preserve"> areas of moderate- to low-flood risk</w:t>
      </w:r>
      <w:r w:rsidR="001845C9">
        <w:t xml:space="preserve"> </w:t>
      </w:r>
      <w:r w:rsidR="00E24926" w:rsidRPr="00E24926">
        <w:t>Note that mortgage holders may still require flood insurance.</w:t>
      </w:r>
    </w:p>
    <w:p w14:paraId="5731CAC4" w14:textId="77777777" w:rsidR="00E24926" w:rsidRPr="00E24926" w:rsidRDefault="00E24926" w:rsidP="00CB66C2">
      <w:pPr>
        <w:pStyle w:val="ParagraphHeading"/>
      </w:pPr>
      <w:r w:rsidRPr="00E24926">
        <w:t>CHANGES IN BUILDING REQUIREMENTS</w:t>
      </w:r>
    </w:p>
    <w:p w14:paraId="2C3CB6C4" w14:textId="7559C1C5" w:rsidR="00E24926" w:rsidRPr="00E24926" w:rsidRDefault="00E24926" w:rsidP="00E24926">
      <w:r w:rsidRPr="00E24926">
        <w:t xml:space="preserve">For those buildings </w:t>
      </w:r>
      <w:r w:rsidR="00E576A1">
        <w:t>newly identified to be</w:t>
      </w:r>
      <w:r w:rsidR="00E576A1" w:rsidRPr="00E24926">
        <w:t xml:space="preserve"> </w:t>
      </w:r>
      <w:r w:rsidRPr="00E24926">
        <w:t>in a high-risk area</w:t>
      </w:r>
      <w:r w:rsidR="00D83B76">
        <w:t>,</w:t>
      </w:r>
      <w:r w:rsidRPr="00E24926">
        <w:t xml:space="preserve"> </w:t>
      </w:r>
      <w:r w:rsidR="00E576A1">
        <w:t>which were</w:t>
      </w:r>
      <w:r w:rsidR="00D83B76">
        <w:t xml:space="preserve"> previously</w:t>
      </w:r>
      <w:r w:rsidR="00E576A1">
        <w:t xml:space="preserve"> in</w:t>
      </w:r>
      <w:r w:rsidR="00E576A1" w:rsidRPr="00E24926">
        <w:t xml:space="preserve"> </w:t>
      </w:r>
      <w:r w:rsidRPr="00E24926">
        <w:t xml:space="preserve">a moderate- or low-risk area, building requirements will also change. Once the new flood maps are adopted, all buildings will have to be constructed in accordance with the new flood zones and new </w:t>
      </w:r>
      <w:r w:rsidR="00E576A1">
        <w:t>B</w:t>
      </w:r>
      <w:r w:rsidRPr="00E24926">
        <w:t xml:space="preserve">ase </w:t>
      </w:r>
      <w:r w:rsidR="00E576A1">
        <w:t>F</w:t>
      </w:r>
      <w:r w:rsidRPr="00E24926">
        <w:t xml:space="preserve">lood </w:t>
      </w:r>
      <w:r w:rsidR="00E576A1">
        <w:t>E</w:t>
      </w:r>
      <w:r w:rsidRPr="00E24926">
        <w:t xml:space="preserve">levations shown on the map. </w:t>
      </w:r>
    </w:p>
    <w:p w14:paraId="7ED8FC62" w14:textId="77777777" w:rsidR="00B327A1" w:rsidRDefault="00B327A1" w:rsidP="00E24926">
      <w:pPr>
        <w:sectPr w:rsidR="00B327A1" w:rsidSect="0078268A">
          <w:type w:val="continuous"/>
          <w:pgSz w:w="12240" w:h="15840"/>
          <w:pgMar w:top="1080" w:right="1080" w:bottom="1800" w:left="1080" w:header="864" w:footer="547" w:gutter="0"/>
          <w:cols w:num="2" w:space="360"/>
          <w:titlePg/>
          <w:docGrid w:linePitch="360"/>
        </w:sectPr>
      </w:pPr>
    </w:p>
    <w:p w14:paraId="15DB730F" w14:textId="76AECB73" w:rsidR="00E24926" w:rsidRDefault="00E24926" w:rsidP="00E24926">
      <w:pPr>
        <w:rPr>
          <w:szCs w:val="20"/>
        </w:rPr>
        <w:sectPr w:rsidR="00E24926" w:rsidSect="00464FCC">
          <w:type w:val="continuous"/>
          <w:pgSz w:w="12240" w:h="15840"/>
          <w:pgMar w:top="1080" w:right="1080" w:bottom="1800" w:left="1080" w:header="864" w:footer="547" w:gutter="0"/>
          <w:cols w:space="360"/>
          <w:titlePg/>
          <w:docGrid w:linePitch="360"/>
        </w:sectPr>
      </w:pPr>
      <w:r w:rsidRPr="00E24926">
        <w:lastRenderedPageBreak/>
        <w:t xml:space="preserve">If a property owner still feels that their home or business should not be located in a high-risk area, they can submit a Letter of Map Change to FEMA once the new maps become effective. More information can be found at </w:t>
      </w:r>
      <w:hyperlink r:id="rId12" w:history="1">
        <w:r w:rsidR="00E576A1" w:rsidRPr="00E576A1">
          <w:rPr>
            <w:rStyle w:val="Hyperlink"/>
          </w:rPr>
          <w:t>www.fema.gov/flood-maps/change-your-flood-zone/loma-lomr-f</w:t>
        </w:r>
      </w:hyperlink>
      <w:r w:rsidR="00E576A1">
        <w:t xml:space="preserve">. </w:t>
      </w:r>
    </w:p>
    <w:p w14:paraId="644E86DF" w14:textId="77777777" w:rsidR="00D53C5B" w:rsidRPr="00E24926" w:rsidRDefault="00D53C5B" w:rsidP="00D53C5B">
      <w:pPr>
        <w:pStyle w:val="ParagraphHeading"/>
      </w:pPr>
      <w:r w:rsidRPr="00E24926">
        <w:t xml:space="preserve">NEW MAPS MEAN A SAFER </w:t>
      </w:r>
      <w:r w:rsidR="00F65BE8">
        <w:t>COMMUNITY</w:t>
      </w:r>
      <w:r w:rsidRPr="00E24926">
        <w:t xml:space="preserve"> </w:t>
      </w:r>
    </w:p>
    <w:p w14:paraId="339915FE" w14:textId="77777777" w:rsidR="00D53C5B" w:rsidRPr="00E24926" w:rsidRDefault="00D53C5B" w:rsidP="00D53C5B">
      <w:pPr>
        <w:pStyle w:val="BulletHeadingParagraph"/>
      </w:pPr>
      <w:r w:rsidRPr="00E24926">
        <w:t xml:space="preserve">By showing the extent to which areas </w:t>
      </w:r>
      <w:r w:rsidRPr="00F65BE8">
        <w:t xml:space="preserve">of the </w:t>
      </w:r>
      <w:r w:rsidRPr="00F65BE8">
        <w:rPr>
          <w:rStyle w:val="CustomizableText"/>
          <w:color w:val="auto"/>
        </w:rPr>
        <w:t>county</w:t>
      </w:r>
      <w:r w:rsidRPr="00F65BE8">
        <w:t xml:space="preserve"> and </w:t>
      </w:r>
      <w:r w:rsidRPr="00E24926">
        <w:t xml:space="preserve">individual properties are at risk for flooding, the new maps will help guide financial protection, planning, investment, building, development and renovation decisions. </w:t>
      </w:r>
    </w:p>
    <w:p w14:paraId="12ED8A37" w14:textId="77777777" w:rsidR="00D53C5B" w:rsidRPr="00E24926" w:rsidRDefault="00D53C5B" w:rsidP="00D53C5B">
      <w:pPr>
        <w:pStyle w:val="Bullets"/>
      </w:pPr>
      <w:r w:rsidRPr="00DA6EF5">
        <w:rPr>
          <w:b/>
        </w:rPr>
        <w:t>Residents and business owners</w:t>
      </w:r>
      <w:r w:rsidRPr="00E24926">
        <w:t xml:space="preserve"> will understand their </w:t>
      </w:r>
      <w:r w:rsidRPr="00407B47">
        <w:rPr>
          <w:i/>
        </w:rPr>
        <w:t>current</w:t>
      </w:r>
      <w:r w:rsidRPr="00E24926">
        <w:t xml:space="preserve"> flood risk and be able to make better decisions about insuring and protecting their property against floods. </w:t>
      </w:r>
    </w:p>
    <w:p w14:paraId="3DDC2AC2" w14:textId="77777777" w:rsidR="00D53C5B" w:rsidRPr="00E24926" w:rsidRDefault="00D53C5B" w:rsidP="00D53C5B">
      <w:pPr>
        <w:pStyle w:val="Bullets"/>
      </w:pPr>
      <w:r w:rsidRPr="00DA6EF5">
        <w:rPr>
          <w:b/>
        </w:rPr>
        <w:t>Builders and developers</w:t>
      </w:r>
      <w:r w:rsidRPr="00E24926">
        <w:t xml:space="preserve"> can use the updated map data to determine where and how to build structures more safely and how high to build to reduce the risk of flood damage. </w:t>
      </w:r>
    </w:p>
    <w:p w14:paraId="426138F5" w14:textId="77777777" w:rsidR="00D53C5B" w:rsidRPr="00E24926" w:rsidRDefault="00D53C5B" w:rsidP="00D53C5B">
      <w:pPr>
        <w:pStyle w:val="Bullets"/>
      </w:pPr>
      <w:r w:rsidRPr="00DA6EF5">
        <w:rPr>
          <w:b/>
        </w:rPr>
        <w:t>Real estate agents</w:t>
      </w:r>
      <w:r w:rsidRPr="00E24926">
        <w:t xml:space="preserve"> will be better able to inform clients of the risk factors that may affect the property they are buying or selling as well as any flood insurance requirements.</w:t>
      </w:r>
    </w:p>
    <w:p w14:paraId="26D2D8BC" w14:textId="77777777" w:rsidR="00D53C5B" w:rsidRDefault="00D53C5B" w:rsidP="00D53C5B">
      <w:pPr>
        <w:pStyle w:val="Bullets"/>
      </w:pPr>
      <w:r w:rsidRPr="00DA6EF5">
        <w:rPr>
          <w:b/>
        </w:rPr>
        <w:t>Insurance agents</w:t>
      </w:r>
      <w:r w:rsidRPr="00E24926">
        <w:t xml:space="preserve"> will know their clients’ current flood risk and can provide more informed recommendations regarding flood insurance coverage options.</w:t>
      </w:r>
    </w:p>
    <w:p w14:paraId="01D173F3" w14:textId="77777777" w:rsidR="00543C81" w:rsidRDefault="00543C81" w:rsidP="00543C81">
      <w:pPr>
        <w:sectPr w:rsidR="00543C81" w:rsidSect="00464FCC">
          <w:type w:val="continuous"/>
          <w:pgSz w:w="12240" w:h="15840"/>
          <w:pgMar w:top="1080" w:right="1080" w:bottom="1800" w:left="1080" w:header="864" w:footer="547" w:gutter="0"/>
          <w:cols w:space="360"/>
          <w:titlePg/>
          <w:docGrid w:linePitch="360"/>
        </w:sectPr>
      </w:pPr>
    </w:p>
    <w:p w14:paraId="5B59E7F9" w14:textId="77777777" w:rsidR="00543C81" w:rsidRDefault="00543C81" w:rsidP="00543C81">
      <w:r w:rsidRPr="008459C8">
        <w:rPr>
          <w:noProof/>
        </w:rPr>
        <mc:AlternateContent>
          <mc:Choice Requires="wps">
            <w:drawing>
              <wp:anchor distT="0" distB="0" distL="114300" distR="114300" simplePos="0" relativeHeight="251658240" behindDoc="0" locked="0" layoutInCell="1" allowOverlap="1" wp14:anchorId="01FC6C64" wp14:editId="4BD6E090">
                <wp:simplePos x="0" y="0"/>
                <wp:positionH relativeFrom="column">
                  <wp:posOffset>1270</wp:posOffset>
                </wp:positionH>
                <wp:positionV relativeFrom="paragraph">
                  <wp:posOffset>181610</wp:posOffset>
                </wp:positionV>
                <wp:extent cx="6400800" cy="1713865"/>
                <wp:effectExtent l="0" t="0" r="0" b="0"/>
                <wp:wrapNone/>
                <wp:docPr id="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13865"/>
                        </a:xfrm>
                        <a:prstGeom prst="rect">
                          <a:avLst/>
                        </a:prstGeom>
                        <a:solidFill>
                          <a:srgbClr val="E1E9F2">
                            <a:alpha val="50000"/>
                          </a:srgbClr>
                        </a:solidFill>
                        <a:ln>
                          <a:noFill/>
                        </a:ln>
                        <a:effectLst/>
                      </wps:spPr>
                      <wps:txbx>
                        <w:txbxContent>
                          <w:p w14:paraId="212EB6A2" w14:textId="77777777" w:rsidR="00543C81" w:rsidRPr="00543C81" w:rsidRDefault="00543C81" w:rsidP="00543C81">
                            <w:pPr>
                              <w:pStyle w:val="ParagraphHeading"/>
                            </w:pPr>
                            <w:r w:rsidRPr="00543C81">
                              <w:t>STAY INFORMED</w:t>
                            </w:r>
                          </w:p>
                          <w:p w14:paraId="182132B4" w14:textId="313091BF" w:rsidR="00543C81" w:rsidRPr="00B327A1" w:rsidRDefault="00F65BE8" w:rsidP="00543C81">
                            <w:pPr>
                              <w:pStyle w:val="CalloutBoxText"/>
                              <w:rPr>
                                <w:rStyle w:val="Hyperlink"/>
                                <w:color w:val="365F91" w:themeColor="accent4"/>
                                <w:sz w:val="20"/>
                                <w:szCs w:val="20"/>
                                <w:u w:val="none"/>
                              </w:rPr>
                            </w:pPr>
                            <w:r w:rsidRPr="00B327A1">
                              <w:rPr>
                                <w:sz w:val="20"/>
                                <w:szCs w:val="20"/>
                              </w:rPr>
                              <w:t xml:space="preserve">Your community is </w:t>
                            </w:r>
                            <w:r w:rsidR="00543C81" w:rsidRPr="00B327A1">
                              <w:rPr>
                                <w:sz w:val="20"/>
                                <w:szCs w:val="20"/>
                              </w:rPr>
                              <w:t xml:space="preserve">expected to pass an ordinance to adopt the new maps before the map’s effective date. Property owners can learn more about the flood mapping project, view the new digital flood maps at </w:t>
                            </w:r>
                            <w:hyperlink r:id="rId13" w:history="1">
                              <w:r w:rsidR="00C16EFE" w:rsidRPr="00B327A1">
                                <w:rPr>
                                  <w:rStyle w:val="Hyperlink"/>
                                  <w:sz w:val="20"/>
                                  <w:szCs w:val="20"/>
                                </w:rPr>
                                <w:t>www.georgiadfirm.com</w:t>
                              </w:r>
                            </w:hyperlink>
                            <w:r w:rsidR="00316C3E" w:rsidRPr="00B327A1">
                              <w:rPr>
                                <w:sz w:val="20"/>
                                <w:szCs w:val="20"/>
                              </w:rPr>
                              <w:t xml:space="preserve">. </w:t>
                            </w:r>
                            <w:r w:rsidR="00543C81" w:rsidRPr="00B327A1">
                              <w:rPr>
                                <w:sz w:val="20"/>
                                <w:szCs w:val="20"/>
                              </w:rPr>
                              <w:t xml:space="preserve">Individuals with general questions about the new maps can also call </w:t>
                            </w:r>
                            <w:r w:rsidR="00C16EFE" w:rsidRPr="00B327A1">
                              <w:rPr>
                                <w:sz w:val="20"/>
                                <w:szCs w:val="20"/>
                              </w:rPr>
                              <w:t xml:space="preserve">their </w:t>
                            </w:r>
                            <w:r w:rsidRPr="00B327A1">
                              <w:rPr>
                                <w:sz w:val="20"/>
                                <w:szCs w:val="20"/>
                              </w:rPr>
                              <w:t>community’s floodplain administrator</w:t>
                            </w:r>
                            <w:r w:rsidR="00543C81" w:rsidRPr="00B327A1">
                              <w:rPr>
                                <w:sz w:val="20"/>
                                <w:szCs w:val="20"/>
                              </w:rPr>
                              <w:t xml:space="preserve">. For information about flood insurance, contact your local insurance agent or visit </w:t>
                            </w:r>
                            <w:hyperlink r:id="rId14" w:history="1">
                              <w:r w:rsidR="00543C81" w:rsidRPr="00B327A1">
                                <w:rPr>
                                  <w:rStyle w:val="Hyperlink"/>
                                  <w:sz w:val="20"/>
                                  <w:szCs w:val="20"/>
                                </w:rPr>
                                <w:t>www.FloodSmart.gov</w:t>
                              </w:r>
                            </w:hyperlink>
                            <w:r w:rsidR="00543C81" w:rsidRPr="00B327A1">
                              <w:rPr>
                                <w:sz w:val="20"/>
                                <w:szCs w:val="20"/>
                              </w:rPr>
                              <w:t>.</w:t>
                            </w:r>
                          </w:p>
                        </w:txbxContent>
                      </wps:txbx>
                      <wps:bodyPr rot="0" vert="horz" wrap="square" lIns="137160" tIns="91440" rIns="137160" bIns="91440" anchor="t" anchorCtr="0" upright="1">
                        <a:spAutoFit/>
                      </wps:bodyPr>
                    </wps:wsp>
                  </a:graphicData>
                </a:graphic>
              </wp:anchor>
            </w:drawing>
          </mc:Choice>
          <mc:Fallback>
            <w:pict>
              <v:shapetype w14:anchorId="01FC6C64" id="_x0000_t202" coordsize="21600,21600" o:spt="202" path="m,l,21600r21600,l21600,xe">
                <v:stroke joinstyle="miter"/>
                <v:path gradientshapeok="t" o:connecttype="rect"/>
              </v:shapetype>
              <v:shape id="Text Box 90" o:spid="_x0000_s1026" type="#_x0000_t202" style="position:absolute;margin-left:.1pt;margin-top:14.3pt;width:7in;height:13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" fillcolor="#e1e9f2" stroked="f">
                <v:fill opacity="32896f"/>
                <v:textbox style="mso-fit-shape-to-text:t" inset="10.8pt,7.2pt,10.8pt,7.2pt">
                  <w:txbxContent>
                    <w:p w14:paraId="212EB6A2" w14:textId="77777777" w:rsidR="00543C81" w:rsidRPr="00543C81" w:rsidRDefault="00543C81" w:rsidP="00543C81">
                      <w:pPr>
                        <w:pStyle w:val="ParagraphHeading"/>
                      </w:pPr>
                      <w:r w:rsidRPr="00543C81">
                        <w:t>STAY INFORMED</w:t>
                      </w:r>
                    </w:p>
                    <w:p w14:paraId="182132B4" w14:textId="313091BF" w:rsidR="00543C81" w:rsidRPr="00B327A1" w:rsidRDefault="00F65BE8" w:rsidP="00543C81">
                      <w:pPr>
                        <w:pStyle w:val="CalloutBoxText"/>
                        <w:rPr>
                          <w:rStyle w:val="Hyperlink"/>
                          <w:color w:val="365F91" w:themeColor="accent4"/>
                          <w:sz w:val="20"/>
                          <w:szCs w:val="20"/>
                          <w:u w:val="none"/>
                        </w:rPr>
                      </w:pPr>
                      <w:r w:rsidRPr="00B327A1">
                        <w:rPr>
                          <w:sz w:val="20"/>
                          <w:szCs w:val="20"/>
                        </w:rPr>
                        <w:t xml:space="preserve">Your community is </w:t>
                      </w:r>
                      <w:r w:rsidR="00543C81" w:rsidRPr="00B327A1">
                        <w:rPr>
                          <w:sz w:val="20"/>
                          <w:szCs w:val="20"/>
                        </w:rPr>
                        <w:t xml:space="preserve">expected to pass an ordinance to adopt the new maps before the map’s effective date. Property owners can learn more about the flood mapping project, view the new digital flood maps at </w:t>
                      </w:r>
                      <w:hyperlink r:id="rId15" w:history="1">
                        <w:r w:rsidR="00C16EFE" w:rsidRPr="00B327A1">
                          <w:rPr>
                            <w:rStyle w:val="Hyperlink"/>
                            <w:sz w:val="20"/>
                            <w:szCs w:val="20"/>
                          </w:rPr>
                          <w:t>www.georgiadfirm.com</w:t>
                        </w:r>
                      </w:hyperlink>
                      <w:r w:rsidR="00316C3E" w:rsidRPr="00B327A1">
                        <w:rPr>
                          <w:sz w:val="20"/>
                          <w:szCs w:val="20"/>
                        </w:rPr>
                        <w:t xml:space="preserve">. </w:t>
                      </w:r>
                      <w:r w:rsidR="00543C81" w:rsidRPr="00B327A1">
                        <w:rPr>
                          <w:sz w:val="20"/>
                          <w:szCs w:val="20"/>
                        </w:rPr>
                        <w:t xml:space="preserve">Individuals with general questions about the new maps can also call </w:t>
                      </w:r>
                      <w:r w:rsidR="00C16EFE" w:rsidRPr="00B327A1">
                        <w:rPr>
                          <w:sz w:val="20"/>
                          <w:szCs w:val="20"/>
                        </w:rPr>
                        <w:t xml:space="preserve">their </w:t>
                      </w:r>
                      <w:r w:rsidRPr="00B327A1">
                        <w:rPr>
                          <w:sz w:val="20"/>
                          <w:szCs w:val="20"/>
                        </w:rPr>
                        <w:t>community’s floodplain administrator</w:t>
                      </w:r>
                      <w:r w:rsidR="00543C81" w:rsidRPr="00B327A1">
                        <w:rPr>
                          <w:sz w:val="20"/>
                          <w:szCs w:val="20"/>
                        </w:rPr>
                        <w:t xml:space="preserve">. For information about flood insurance, contact your local insurance agent or visit </w:t>
                      </w:r>
                      <w:hyperlink r:id="rId16" w:history="1">
                        <w:r w:rsidR="00543C81" w:rsidRPr="00B327A1">
                          <w:rPr>
                            <w:rStyle w:val="Hyperlink"/>
                            <w:sz w:val="20"/>
                            <w:szCs w:val="20"/>
                          </w:rPr>
                          <w:t>www.FloodSmart.gov</w:t>
                        </w:r>
                      </w:hyperlink>
                      <w:r w:rsidR="00543C81" w:rsidRPr="00B327A1">
                        <w:rPr>
                          <w:sz w:val="20"/>
                          <w:szCs w:val="20"/>
                        </w:rPr>
                        <w:t>.</w:t>
                      </w:r>
                    </w:p>
                  </w:txbxContent>
                </v:textbox>
              </v:shape>
            </w:pict>
          </mc:Fallback>
        </mc:AlternateContent>
      </w:r>
    </w:p>
    <w:sectPr w:rsidR="00543C81" w:rsidSect="00D53C5B">
      <w:type w:val="continuous"/>
      <w:pgSz w:w="12240" w:h="15840"/>
      <w:pgMar w:top="1080" w:right="1080" w:bottom="1800" w:left="1080" w:header="864" w:footer="54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D9F1F" w14:textId="77777777" w:rsidR="00A35D93" w:rsidRDefault="00A35D93" w:rsidP="002827BC">
      <w:pPr>
        <w:spacing w:after="0"/>
      </w:pPr>
      <w:r>
        <w:separator/>
      </w:r>
    </w:p>
  </w:endnote>
  <w:endnote w:type="continuationSeparator" w:id="0">
    <w:p w14:paraId="659AFDBC" w14:textId="77777777" w:rsidR="00A35D93" w:rsidRDefault="00A35D93"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7" w:rightFromText="187" w:vertAnchor="text"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0"/>
      <w:gridCol w:w="7200"/>
    </w:tblGrid>
    <w:tr w:rsidR="00474ECF" w:rsidRPr="004653F0" w14:paraId="25C80DD5" w14:textId="77777777" w:rsidTr="006F0A50">
      <w:trPr>
        <w:trHeight w:val="576"/>
      </w:trPr>
      <w:tc>
        <w:tcPr>
          <w:tcW w:w="2880" w:type="dxa"/>
          <w:vAlign w:val="bottom"/>
        </w:tcPr>
        <w:p w14:paraId="2D6E5858" w14:textId="77777777" w:rsidR="00474ECF" w:rsidRPr="004653F0" w:rsidRDefault="00474ECF" w:rsidP="00474ECF">
          <w:pPr>
            <w:pStyle w:val="Footer"/>
            <w:ind w:right="-43"/>
            <w:rPr>
              <w:rFonts w:cs="Arial"/>
              <w:color w:val="000000" w:themeColor="accent5"/>
              <w:szCs w:val="16"/>
            </w:rPr>
          </w:pPr>
          <w:r w:rsidRPr="004653F0">
            <w:rPr>
              <w:rFonts w:cs="Arial"/>
              <w:noProof/>
              <w:color w:val="000000" w:themeColor="accent5"/>
              <w:szCs w:val="16"/>
            </w:rPr>
            <w:drawing>
              <wp:inline distT="0" distB="0" distL="0" distR="0" wp14:anchorId="2C3271F6" wp14:editId="264AACE8">
                <wp:extent cx="1551536" cy="5476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A-DNR-DeptNaturalResources_Logo-2w.png"/>
                        <pic:cNvPicPr/>
                      </pic:nvPicPr>
                      <pic:blipFill>
                        <a:blip r:embed="rId1">
                          <a:extLst>
                            <a:ext uri="{28A0092B-C50C-407E-A947-70E740481C1C}">
                              <a14:useLocalDpi xmlns:a14="http://schemas.microsoft.com/office/drawing/2010/main" val="0"/>
                            </a:ext>
                          </a:extLst>
                        </a:blip>
                        <a:stretch>
                          <a:fillRect/>
                        </a:stretch>
                      </pic:blipFill>
                      <pic:spPr>
                        <a:xfrm>
                          <a:off x="0" y="0"/>
                          <a:ext cx="1551536" cy="547601"/>
                        </a:xfrm>
                        <a:prstGeom prst="rect">
                          <a:avLst/>
                        </a:prstGeom>
                      </pic:spPr>
                    </pic:pic>
                  </a:graphicData>
                </a:graphic>
              </wp:inline>
            </w:drawing>
          </w:r>
        </w:p>
      </w:tc>
      <w:tc>
        <w:tcPr>
          <w:tcW w:w="7200" w:type="dxa"/>
          <w:vAlign w:val="bottom"/>
        </w:tcPr>
        <w:p w14:paraId="7D3FF956" w14:textId="09ED1C87" w:rsidR="00474ECF" w:rsidRPr="0066675E" w:rsidRDefault="00474ECF" w:rsidP="00474ECF">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3805A7">
            <w:rPr>
              <w:rFonts w:cs="Arial"/>
              <w:color w:val="000000" w:themeColor="accent5"/>
              <w:sz w:val="16"/>
              <w:szCs w:val="16"/>
            </w:rPr>
            <w:t xml:space="preserve">August </w:t>
          </w:r>
          <w:r>
            <w:rPr>
              <w:rFonts w:cs="Arial"/>
              <w:color w:val="000000" w:themeColor="accent5"/>
              <w:sz w:val="16"/>
              <w:szCs w:val="16"/>
            </w:rPr>
            <w:t>20</w:t>
          </w:r>
          <w:r w:rsidR="003805A7">
            <w:rPr>
              <w:rFonts w:cs="Arial"/>
              <w:color w:val="000000" w:themeColor="accent5"/>
              <w:sz w:val="16"/>
              <w:szCs w:val="16"/>
            </w:rPr>
            <w:t>20</w:t>
          </w:r>
          <w:r w:rsidRPr="0066675E">
            <w:rPr>
              <w:rFonts w:cs="Arial"/>
              <w:color w:val="000000" w:themeColor="accent5"/>
              <w:sz w:val="16"/>
              <w:szCs w:val="16"/>
            </w:rPr>
            <w:t xml:space="preserve"> </w:t>
          </w:r>
        </w:p>
        <w:p w14:paraId="1A4D627D" w14:textId="77777777" w:rsidR="00474ECF" w:rsidRPr="004653F0" w:rsidRDefault="00E24926" w:rsidP="00474ECF">
          <w:pPr>
            <w:pStyle w:val="Footer"/>
            <w:jc w:val="right"/>
            <w:rPr>
              <w:rFonts w:cs="Arial"/>
              <w:color w:val="000000" w:themeColor="accent5"/>
              <w:szCs w:val="16"/>
            </w:rPr>
          </w:pPr>
          <w:r w:rsidRPr="00E24926">
            <w:rPr>
              <w:rFonts w:cs="Arial"/>
              <w:b/>
              <w:color w:val="000000" w:themeColor="accent5"/>
              <w:sz w:val="18"/>
              <w:szCs w:val="18"/>
            </w:rPr>
            <w:t>POST-PRELIMINARY FACT SHEET</w:t>
          </w:r>
          <w:r w:rsidR="001845C9">
            <w:rPr>
              <w:rFonts w:cs="Arial"/>
              <w:b/>
              <w:color w:val="000000" w:themeColor="accent5"/>
              <w:szCs w:val="16"/>
            </w:rPr>
            <w:t xml:space="preserve"> </w:t>
          </w:r>
          <w:r w:rsidR="00474ECF" w:rsidRPr="004653F0">
            <w:rPr>
              <w:rFonts w:cs="Arial"/>
              <w:color w:val="969696" w:themeColor="accent6"/>
              <w:szCs w:val="16"/>
            </w:rPr>
            <w:t>|</w:t>
          </w:r>
          <w:r w:rsidR="001845C9">
            <w:rPr>
              <w:rFonts w:cs="Arial"/>
              <w:b/>
              <w:color w:val="969696" w:themeColor="accent6"/>
              <w:szCs w:val="16"/>
            </w:rPr>
            <w:t xml:space="preserve"> </w:t>
          </w:r>
          <w:sdt>
            <w:sdtPr>
              <w:rPr>
                <w:rFonts w:cs="Arial"/>
                <w:szCs w:val="16"/>
              </w:rPr>
              <w:id w:val="2132361421"/>
              <w:docPartObj>
                <w:docPartGallery w:val="Page Numbers (Bottom of Page)"/>
                <w:docPartUnique/>
              </w:docPartObj>
            </w:sdtPr>
            <w:sdtEndPr>
              <w:rPr>
                <w:b/>
              </w:rPr>
            </w:sdtEndPr>
            <w:sdtContent>
              <w:r w:rsidR="00474ECF" w:rsidRPr="004653F0">
                <w:rPr>
                  <w:rFonts w:cs="Arial"/>
                  <w:b/>
                  <w:color w:val="6A843B" w:themeColor="accent3"/>
                  <w:szCs w:val="16"/>
                </w:rPr>
                <w:fldChar w:fldCharType="begin"/>
              </w:r>
              <w:r w:rsidR="00474ECF" w:rsidRPr="004653F0">
                <w:rPr>
                  <w:rFonts w:cs="Arial"/>
                  <w:b/>
                  <w:color w:val="6A843B" w:themeColor="accent3"/>
                  <w:szCs w:val="16"/>
                </w:rPr>
                <w:instrText xml:space="preserve"> PAGE   \* MERGEFORMAT </w:instrText>
              </w:r>
              <w:r w:rsidR="00474ECF" w:rsidRPr="004653F0">
                <w:rPr>
                  <w:rFonts w:cs="Arial"/>
                  <w:b/>
                  <w:color w:val="6A843B" w:themeColor="accent3"/>
                  <w:szCs w:val="16"/>
                </w:rPr>
                <w:fldChar w:fldCharType="separate"/>
              </w:r>
              <w:r w:rsidR="00F65BE8">
                <w:rPr>
                  <w:rFonts w:cs="Arial"/>
                  <w:b/>
                  <w:noProof/>
                  <w:color w:val="6A843B" w:themeColor="accent3"/>
                  <w:szCs w:val="16"/>
                </w:rPr>
                <w:t>2</w:t>
              </w:r>
              <w:r w:rsidR="00474ECF" w:rsidRPr="004653F0">
                <w:rPr>
                  <w:rFonts w:cs="Arial"/>
                  <w:b/>
                  <w:color w:val="6A843B" w:themeColor="accent3"/>
                  <w:szCs w:val="16"/>
                </w:rPr>
                <w:fldChar w:fldCharType="end"/>
              </w:r>
              <w:r w:rsidR="00474ECF" w:rsidRPr="004653F0">
                <w:rPr>
                  <w:rFonts w:cs="Arial"/>
                  <w:b/>
                  <w:color w:val="87A5CB" w:themeColor="text2"/>
                  <w:szCs w:val="16"/>
                </w:rPr>
                <w:t xml:space="preserve"> </w:t>
              </w:r>
            </w:sdtContent>
          </w:sdt>
        </w:p>
      </w:tc>
    </w:tr>
  </w:tbl>
  <w:p w14:paraId="06C7759B" w14:textId="77777777" w:rsidR="00474ECF" w:rsidRPr="003A5A2D" w:rsidRDefault="00474ECF" w:rsidP="00474ECF">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7" w:rightFromText="187" w:vertAnchor="text"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0"/>
      <w:gridCol w:w="7200"/>
    </w:tblGrid>
    <w:tr w:rsidR="00474ECF" w:rsidRPr="004653F0" w14:paraId="543621D7" w14:textId="77777777" w:rsidTr="006F0A50">
      <w:trPr>
        <w:trHeight w:val="576"/>
      </w:trPr>
      <w:tc>
        <w:tcPr>
          <w:tcW w:w="2880" w:type="dxa"/>
          <w:vAlign w:val="bottom"/>
        </w:tcPr>
        <w:p w14:paraId="15BA22FC" w14:textId="77777777" w:rsidR="00474ECF" w:rsidRPr="004653F0" w:rsidRDefault="00474ECF" w:rsidP="00474ECF">
          <w:pPr>
            <w:pStyle w:val="Footer"/>
            <w:ind w:right="-43"/>
            <w:rPr>
              <w:rFonts w:cs="Arial"/>
              <w:color w:val="000000" w:themeColor="accent5"/>
              <w:szCs w:val="16"/>
            </w:rPr>
          </w:pPr>
          <w:r w:rsidRPr="004653F0">
            <w:rPr>
              <w:rFonts w:cs="Arial"/>
              <w:noProof/>
              <w:color w:val="000000" w:themeColor="accent5"/>
              <w:szCs w:val="16"/>
            </w:rPr>
            <w:drawing>
              <wp:inline distT="0" distB="0" distL="0" distR="0" wp14:anchorId="30E60994" wp14:editId="040A2D37">
                <wp:extent cx="1551536" cy="547601"/>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A-DNR-DeptNaturalResources_Logo-2w.png"/>
                        <pic:cNvPicPr/>
                      </pic:nvPicPr>
                      <pic:blipFill>
                        <a:blip r:embed="rId1">
                          <a:extLst>
                            <a:ext uri="{28A0092B-C50C-407E-A947-70E740481C1C}">
                              <a14:useLocalDpi xmlns:a14="http://schemas.microsoft.com/office/drawing/2010/main" val="0"/>
                            </a:ext>
                          </a:extLst>
                        </a:blip>
                        <a:stretch>
                          <a:fillRect/>
                        </a:stretch>
                      </pic:blipFill>
                      <pic:spPr>
                        <a:xfrm>
                          <a:off x="0" y="0"/>
                          <a:ext cx="1551536" cy="547601"/>
                        </a:xfrm>
                        <a:prstGeom prst="rect">
                          <a:avLst/>
                        </a:prstGeom>
                      </pic:spPr>
                    </pic:pic>
                  </a:graphicData>
                </a:graphic>
              </wp:inline>
            </w:drawing>
          </w:r>
        </w:p>
      </w:tc>
      <w:tc>
        <w:tcPr>
          <w:tcW w:w="7200" w:type="dxa"/>
          <w:vAlign w:val="bottom"/>
        </w:tcPr>
        <w:p w14:paraId="20DCE09C" w14:textId="5B43075D" w:rsidR="00474ECF" w:rsidRPr="0066675E" w:rsidRDefault="00474ECF" w:rsidP="00474ECF">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FF6935">
            <w:rPr>
              <w:rFonts w:cs="Arial"/>
              <w:color w:val="000000" w:themeColor="accent5"/>
              <w:sz w:val="16"/>
              <w:szCs w:val="16"/>
            </w:rPr>
            <w:t>September 2024</w:t>
          </w:r>
          <w:r w:rsidRPr="0066675E">
            <w:rPr>
              <w:rFonts w:cs="Arial"/>
              <w:color w:val="000000" w:themeColor="accent5"/>
              <w:sz w:val="16"/>
              <w:szCs w:val="16"/>
            </w:rPr>
            <w:t xml:space="preserve"> </w:t>
          </w:r>
        </w:p>
        <w:p w14:paraId="54A189F3" w14:textId="77777777" w:rsidR="00474ECF" w:rsidRPr="004653F0" w:rsidRDefault="00E24926" w:rsidP="00474ECF">
          <w:pPr>
            <w:pStyle w:val="Footer"/>
            <w:jc w:val="right"/>
            <w:rPr>
              <w:rFonts w:cs="Arial"/>
              <w:color w:val="000000" w:themeColor="accent5"/>
              <w:szCs w:val="16"/>
            </w:rPr>
          </w:pPr>
          <w:r w:rsidRPr="00E24926">
            <w:rPr>
              <w:rFonts w:cs="Arial"/>
              <w:b/>
              <w:color w:val="000000" w:themeColor="accent5"/>
              <w:sz w:val="18"/>
              <w:szCs w:val="18"/>
            </w:rPr>
            <w:t>POST-PRELIMINARY FACT SHEET</w:t>
          </w:r>
          <w:r w:rsidR="001845C9">
            <w:rPr>
              <w:rFonts w:cs="Arial"/>
              <w:b/>
              <w:color w:val="000000" w:themeColor="accent5"/>
              <w:szCs w:val="16"/>
            </w:rPr>
            <w:t xml:space="preserve"> </w:t>
          </w:r>
          <w:r w:rsidR="00474ECF" w:rsidRPr="004653F0">
            <w:rPr>
              <w:rFonts w:cs="Arial"/>
              <w:color w:val="969696" w:themeColor="accent6"/>
              <w:szCs w:val="16"/>
            </w:rPr>
            <w:t>|</w:t>
          </w:r>
          <w:r w:rsidR="001845C9">
            <w:rPr>
              <w:rFonts w:cs="Arial"/>
              <w:b/>
              <w:color w:val="969696" w:themeColor="accent6"/>
              <w:szCs w:val="16"/>
            </w:rPr>
            <w:t xml:space="preserve"> </w:t>
          </w:r>
          <w:sdt>
            <w:sdtPr>
              <w:rPr>
                <w:rFonts w:cs="Arial"/>
                <w:szCs w:val="16"/>
              </w:rPr>
              <w:id w:val="-767387046"/>
              <w:docPartObj>
                <w:docPartGallery w:val="Page Numbers (Bottom of Page)"/>
                <w:docPartUnique/>
              </w:docPartObj>
            </w:sdtPr>
            <w:sdtEndPr>
              <w:rPr>
                <w:b/>
              </w:rPr>
            </w:sdtEndPr>
            <w:sdtContent>
              <w:r w:rsidR="00474ECF" w:rsidRPr="004653F0">
                <w:rPr>
                  <w:rFonts w:cs="Arial"/>
                  <w:b/>
                  <w:color w:val="6A843B" w:themeColor="accent3"/>
                  <w:szCs w:val="16"/>
                </w:rPr>
                <w:fldChar w:fldCharType="begin"/>
              </w:r>
              <w:r w:rsidR="00474ECF" w:rsidRPr="004653F0">
                <w:rPr>
                  <w:rFonts w:cs="Arial"/>
                  <w:b/>
                  <w:color w:val="6A843B" w:themeColor="accent3"/>
                  <w:szCs w:val="16"/>
                </w:rPr>
                <w:instrText xml:space="preserve"> PAGE   \* MERGEFORMAT </w:instrText>
              </w:r>
              <w:r w:rsidR="00474ECF" w:rsidRPr="004653F0">
                <w:rPr>
                  <w:rFonts w:cs="Arial"/>
                  <w:b/>
                  <w:color w:val="6A843B" w:themeColor="accent3"/>
                  <w:szCs w:val="16"/>
                </w:rPr>
                <w:fldChar w:fldCharType="separate"/>
              </w:r>
              <w:r w:rsidR="00F65BE8">
                <w:rPr>
                  <w:rFonts w:cs="Arial"/>
                  <w:b/>
                  <w:noProof/>
                  <w:color w:val="6A843B" w:themeColor="accent3"/>
                  <w:szCs w:val="16"/>
                </w:rPr>
                <w:t>1</w:t>
              </w:r>
              <w:r w:rsidR="00474ECF" w:rsidRPr="004653F0">
                <w:rPr>
                  <w:rFonts w:cs="Arial"/>
                  <w:b/>
                  <w:color w:val="6A843B" w:themeColor="accent3"/>
                  <w:szCs w:val="16"/>
                </w:rPr>
                <w:fldChar w:fldCharType="end"/>
              </w:r>
              <w:r w:rsidR="00474ECF" w:rsidRPr="004653F0">
                <w:rPr>
                  <w:rFonts w:cs="Arial"/>
                  <w:b/>
                  <w:color w:val="87A5CB" w:themeColor="text2"/>
                  <w:szCs w:val="16"/>
                </w:rPr>
                <w:t xml:space="preserve"> </w:t>
              </w:r>
            </w:sdtContent>
          </w:sdt>
        </w:p>
      </w:tc>
    </w:tr>
  </w:tbl>
  <w:p w14:paraId="3BBD2AE5" w14:textId="77777777" w:rsidR="00474ECF" w:rsidRPr="003A5A2D" w:rsidRDefault="00474ECF" w:rsidP="00474ECF">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D874D" w14:textId="77777777" w:rsidR="00A35D93" w:rsidRDefault="00A35D93" w:rsidP="002827BC">
      <w:pPr>
        <w:spacing w:after="0"/>
      </w:pPr>
      <w:r>
        <w:separator/>
      </w:r>
    </w:p>
  </w:footnote>
  <w:footnote w:type="continuationSeparator" w:id="0">
    <w:p w14:paraId="376EB606" w14:textId="77777777" w:rsidR="00A35D93" w:rsidRDefault="00A35D93" w:rsidP="002827BC">
      <w:pPr>
        <w:spacing w:after="0"/>
      </w:pPr>
      <w:r>
        <w:continuationSeparator/>
      </w:r>
    </w:p>
  </w:footnote>
  <w:footnote w:id="1">
    <w:p w14:paraId="4DDED162" w14:textId="77777777" w:rsidR="00FB5424" w:rsidRDefault="00FB5424" w:rsidP="00FB5424">
      <w:pPr>
        <w:pStyle w:val="Footnote"/>
      </w:pPr>
      <w:r>
        <w:rPr>
          <w:rStyle w:val="FootnoteReference"/>
        </w:rPr>
        <w:footnoteRef/>
      </w:r>
      <w:r>
        <w:t xml:space="preserve"> </w:t>
      </w:r>
      <w:r w:rsidRPr="00F61888">
        <w:t xml:space="preserve">The Base Flood Elevation (BFE) is the level, in feet above sea level, that flood waters have a 1% annual chance of reaching </w:t>
      </w:r>
      <w:r>
        <w:t>or exceeding in any given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6D6B" w14:textId="77777777" w:rsidR="008C61A6" w:rsidRDefault="00474ECF" w:rsidP="00E24926">
    <w:pPr>
      <w:pStyle w:val="FactSheetHeading"/>
    </w:pPr>
    <w:r>
      <w:drawing>
        <wp:anchor distT="0" distB="0" distL="114300" distR="114300" simplePos="0" relativeHeight="251659264" behindDoc="1" locked="0" layoutInCell="1" allowOverlap="1" wp14:anchorId="19D7FF26" wp14:editId="0E64177F">
          <wp:simplePos x="0" y="0"/>
          <wp:positionH relativeFrom="page">
            <wp:posOffset>0</wp:posOffset>
          </wp:positionH>
          <wp:positionV relativeFrom="page">
            <wp:posOffset>-204716</wp:posOffset>
          </wp:positionV>
          <wp:extent cx="7759592" cy="148801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4501_GA-DNR-Guidebook_Mast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592" cy="1488016"/>
                  </a:xfrm>
                  <a:prstGeom prst="rect">
                    <a:avLst/>
                  </a:prstGeom>
                </pic:spPr>
              </pic:pic>
            </a:graphicData>
          </a:graphic>
          <wp14:sizeRelH relativeFrom="margin">
            <wp14:pctWidth>0</wp14:pctWidth>
          </wp14:sizeRelH>
          <wp14:sizeRelV relativeFrom="margin">
            <wp14:pctHeight>0</wp14:pctHeight>
          </wp14:sizeRelV>
        </wp:anchor>
      </w:drawing>
    </w:r>
    <w:r w:rsidR="00E24926">
      <w:t>Post-Preliminary 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B5B3A"/>
    <w:multiLevelType w:val="hybridMultilevel"/>
    <w:tmpl w:val="9E20BE3E"/>
    <w:lvl w:ilvl="0" w:tplc="FCF29814">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71B8C"/>
    <w:multiLevelType w:val="hybridMultilevel"/>
    <w:tmpl w:val="09C8A2B8"/>
    <w:lvl w:ilvl="0" w:tplc="9AEE0728">
      <w:start w:val="1"/>
      <w:numFmt w:val="bullet"/>
      <w:pStyle w:val="NoSpacing"/>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90998">
    <w:abstractNumId w:val="6"/>
  </w:num>
  <w:num w:numId="2" w16cid:durableId="2045715149">
    <w:abstractNumId w:val="1"/>
  </w:num>
  <w:num w:numId="3" w16cid:durableId="1440487220">
    <w:abstractNumId w:val="9"/>
  </w:num>
  <w:num w:numId="4" w16cid:durableId="1029378286">
    <w:abstractNumId w:val="2"/>
  </w:num>
  <w:num w:numId="5" w16cid:durableId="1239093887">
    <w:abstractNumId w:val="5"/>
  </w:num>
  <w:num w:numId="6" w16cid:durableId="1386684740">
    <w:abstractNumId w:val="7"/>
  </w:num>
  <w:num w:numId="7" w16cid:durableId="260181965">
    <w:abstractNumId w:val="8"/>
  </w:num>
  <w:num w:numId="8" w16cid:durableId="1299533174">
    <w:abstractNumId w:val="0"/>
  </w:num>
  <w:num w:numId="9" w16cid:durableId="1994797597">
    <w:abstractNumId w:val="4"/>
  </w:num>
  <w:num w:numId="10" w16cid:durableId="1135411547">
    <w:abstractNumId w:val="3"/>
  </w:num>
  <w:num w:numId="11" w16cid:durableId="6869987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68"/>
    <w:rsid w:val="00003EE3"/>
    <w:rsid w:val="00014595"/>
    <w:rsid w:val="000465F1"/>
    <w:rsid w:val="0006185F"/>
    <w:rsid w:val="000653D4"/>
    <w:rsid w:val="00075B0B"/>
    <w:rsid w:val="000B5244"/>
    <w:rsid w:val="000C2794"/>
    <w:rsid w:val="000E2721"/>
    <w:rsid w:val="001008EF"/>
    <w:rsid w:val="001845C9"/>
    <w:rsid w:val="001B4167"/>
    <w:rsid w:val="00247B68"/>
    <w:rsid w:val="00260B95"/>
    <w:rsid w:val="002827BC"/>
    <w:rsid w:val="002A4CE4"/>
    <w:rsid w:val="002D0E45"/>
    <w:rsid w:val="00307F90"/>
    <w:rsid w:val="003140A2"/>
    <w:rsid w:val="00314BC6"/>
    <w:rsid w:val="00316C3E"/>
    <w:rsid w:val="00322EFF"/>
    <w:rsid w:val="00377860"/>
    <w:rsid w:val="003805A7"/>
    <w:rsid w:val="003A5A2D"/>
    <w:rsid w:val="003C54F7"/>
    <w:rsid w:val="003D321E"/>
    <w:rsid w:val="003E1638"/>
    <w:rsid w:val="00407B47"/>
    <w:rsid w:val="00410116"/>
    <w:rsid w:val="004138A0"/>
    <w:rsid w:val="00427C77"/>
    <w:rsid w:val="00436E1B"/>
    <w:rsid w:val="00457185"/>
    <w:rsid w:val="00460BE1"/>
    <w:rsid w:val="00464FCC"/>
    <w:rsid w:val="004653F0"/>
    <w:rsid w:val="00474ECF"/>
    <w:rsid w:val="004951E3"/>
    <w:rsid w:val="004A7241"/>
    <w:rsid w:val="004B1E88"/>
    <w:rsid w:val="004D7EF1"/>
    <w:rsid w:val="004F079F"/>
    <w:rsid w:val="004F60CB"/>
    <w:rsid w:val="00520BF0"/>
    <w:rsid w:val="00543C81"/>
    <w:rsid w:val="00544DA4"/>
    <w:rsid w:val="005E0977"/>
    <w:rsid w:val="00631ED7"/>
    <w:rsid w:val="006632E0"/>
    <w:rsid w:val="0066675E"/>
    <w:rsid w:val="006A50C3"/>
    <w:rsid w:val="006C4EE0"/>
    <w:rsid w:val="006D1009"/>
    <w:rsid w:val="0071235C"/>
    <w:rsid w:val="00727E34"/>
    <w:rsid w:val="007572DB"/>
    <w:rsid w:val="0078268A"/>
    <w:rsid w:val="007B30CA"/>
    <w:rsid w:val="008459C8"/>
    <w:rsid w:val="00852899"/>
    <w:rsid w:val="00852FB4"/>
    <w:rsid w:val="008711FD"/>
    <w:rsid w:val="00877A1A"/>
    <w:rsid w:val="00885CE9"/>
    <w:rsid w:val="008C61A6"/>
    <w:rsid w:val="008E049D"/>
    <w:rsid w:val="008E492F"/>
    <w:rsid w:val="009044DB"/>
    <w:rsid w:val="00915879"/>
    <w:rsid w:val="0095148C"/>
    <w:rsid w:val="009A18FA"/>
    <w:rsid w:val="009B0B27"/>
    <w:rsid w:val="00A31332"/>
    <w:rsid w:val="00A35D93"/>
    <w:rsid w:val="00A45B30"/>
    <w:rsid w:val="00A4636D"/>
    <w:rsid w:val="00A83029"/>
    <w:rsid w:val="00AA1A2E"/>
    <w:rsid w:val="00AA304E"/>
    <w:rsid w:val="00AB1E44"/>
    <w:rsid w:val="00AD3D9F"/>
    <w:rsid w:val="00AF1E0D"/>
    <w:rsid w:val="00AF7903"/>
    <w:rsid w:val="00B15942"/>
    <w:rsid w:val="00B248E4"/>
    <w:rsid w:val="00B327A1"/>
    <w:rsid w:val="00B46EFE"/>
    <w:rsid w:val="00B4749F"/>
    <w:rsid w:val="00B47717"/>
    <w:rsid w:val="00B73C7C"/>
    <w:rsid w:val="00BA6451"/>
    <w:rsid w:val="00BE67AE"/>
    <w:rsid w:val="00C007B5"/>
    <w:rsid w:val="00C05F29"/>
    <w:rsid w:val="00C060E4"/>
    <w:rsid w:val="00C16EFE"/>
    <w:rsid w:val="00C25B4D"/>
    <w:rsid w:val="00C650B8"/>
    <w:rsid w:val="00C81972"/>
    <w:rsid w:val="00CB66C2"/>
    <w:rsid w:val="00CD5D0D"/>
    <w:rsid w:val="00CF61C7"/>
    <w:rsid w:val="00CF755F"/>
    <w:rsid w:val="00CF7A32"/>
    <w:rsid w:val="00D03BA5"/>
    <w:rsid w:val="00D170BE"/>
    <w:rsid w:val="00D37CC1"/>
    <w:rsid w:val="00D53C5B"/>
    <w:rsid w:val="00D83B76"/>
    <w:rsid w:val="00D85D49"/>
    <w:rsid w:val="00DA6EF5"/>
    <w:rsid w:val="00DB084E"/>
    <w:rsid w:val="00DB3218"/>
    <w:rsid w:val="00DB76A5"/>
    <w:rsid w:val="00E0622F"/>
    <w:rsid w:val="00E24926"/>
    <w:rsid w:val="00E25DC0"/>
    <w:rsid w:val="00E325FE"/>
    <w:rsid w:val="00E576A1"/>
    <w:rsid w:val="00EA0ECA"/>
    <w:rsid w:val="00EF1DA7"/>
    <w:rsid w:val="00EF544F"/>
    <w:rsid w:val="00F2396D"/>
    <w:rsid w:val="00F56C4B"/>
    <w:rsid w:val="00F65A3F"/>
    <w:rsid w:val="00F65BE8"/>
    <w:rsid w:val="00F8608C"/>
    <w:rsid w:val="00FA630F"/>
    <w:rsid w:val="00FB5424"/>
    <w:rsid w:val="00FC310C"/>
    <w:rsid w:val="00FC4FB3"/>
    <w:rsid w:val="00FF1646"/>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CB1929"/>
  <w15:chartTrackingRefBased/>
  <w15:docId w15:val="{97EF2F8F-6B5B-4552-9919-15B4EFC7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semiHidden/>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B4749F"/>
    <w:pPr>
      <w:spacing w:after="160"/>
    </w:pPr>
    <w:rPr>
      <w:rFonts w:cs="Arial"/>
      <w:color w:val="000000"/>
      <w:szCs w:val="20"/>
    </w:rPr>
  </w:style>
  <w:style w:type="character" w:customStyle="1" w:styleId="Heading1Char">
    <w:name w:val="Heading 1 Char"/>
    <w:basedOn w:val="DefaultParagraphFont"/>
    <w:link w:val="Heading1"/>
    <w:uiPriority w:val="9"/>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C81972"/>
    <w:rPr>
      <w:caps w:val="0"/>
      <w:color w:val="6A843B"/>
      <w:sz w:val="24"/>
    </w:rPr>
  </w:style>
  <w:style w:type="paragraph" w:customStyle="1" w:styleId="ParagraphHeadingLevel3">
    <w:name w:val="Paragraph Heading Level 3"/>
    <w:basedOn w:val="ParagraphHeadingLevel2"/>
    <w:qFormat/>
    <w:rsid w:val="00C81972"/>
    <w:rPr>
      <w:color w:val="4174B1"/>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paragraph" w:customStyle="1" w:styleId="Bold">
    <w:name w:val="Bold"/>
    <w:qFormat/>
    <w:rsid w:val="008E492F"/>
    <w:rPr>
      <w:rFonts w:ascii="Corbel" w:hAnsi="Corbel"/>
      <w:b/>
      <w:sz w:val="22"/>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table" w:customStyle="1" w:styleId="GADNRGreenTable">
    <w:name w:val="GA DNR Green Table"/>
    <w:basedOn w:val="TableNormal"/>
    <w:uiPriority w:val="99"/>
    <w:rsid w:val="00631ED7"/>
    <w:pPr>
      <w:spacing w:after="0" w:line="240" w:lineRule="auto"/>
    </w:pPr>
    <w:tblPr>
      <w:tblStyleRowBandSize w:val="1"/>
      <w:tblBorders>
        <w:insideH w:val="single" w:sz="4" w:space="0" w:color="7B9451" w:themeColor="accent2"/>
        <w:insideV w:val="single" w:sz="4" w:space="0" w:color="7B9451" w:themeColor="accent2"/>
      </w:tblBorders>
      <w:tblCellMar>
        <w:top w:w="86" w:type="dxa"/>
        <w:left w:w="0" w:type="dxa"/>
        <w:bottom w:w="86" w:type="dxa"/>
        <w:right w:w="0" w:type="dxa"/>
      </w:tblCellMar>
    </w:tblPr>
    <w:tblStylePr w:type="band1Horz">
      <w:tblPr/>
      <w:tcPr>
        <w:shd w:val="clear" w:color="auto" w:fill="E4EBDA" w:themeFill="accent2" w:themeFillTint="33"/>
      </w:tcPr>
    </w:tblStyle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styleId="NoSpacing">
    <w:name w:val="No Spacing"/>
    <w:aliases w:val="bullets"/>
    <w:uiPriority w:val="1"/>
    <w:rsid w:val="00520BF0"/>
    <w:pPr>
      <w:numPr>
        <w:numId w:val="6"/>
      </w:numPr>
      <w:spacing w:after="60" w:line="240" w:lineRule="auto"/>
    </w:pPr>
    <w:rPr>
      <w:rFonts w:ascii="Century" w:eastAsia="Times New Roman" w:hAnsi="Century" w:cs="Times New Roman"/>
      <w:sz w:val="21"/>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322EFF"/>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paragraph" w:customStyle="1" w:styleId="FactSheetHeading">
    <w:name w:val="Fact Sheet Heading"/>
    <w:qFormat/>
    <w:rsid w:val="00A83029"/>
    <w:pPr>
      <w:spacing w:before="120" w:after="100" w:afterAutospacing="1" w:line="240" w:lineRule="auto"/>
    </w:pPr>
    <w:rPr>
      <w:rFonts w:ascii="Corbel" w:hAnsi="Corbel"/>
      <w:b/>
      <w:caps/>
      <w:noProof/>
      <w:sz w:val="36"/>
      <w:szCs w:val="36"/>
    </w:rPr>
  </w:style>
  <w:style w:type="paragraph" w:customStyle="1" w:styleId="CalloutBoxText">
    <w:name w:val="Callout Box Text"/>
    <w:basedOn w:val="Normal"/>
    <w:qFormat/>
    <w:rsid w:val="00C007B5"/>
    <w:pPr>
      <w:spacing w:after="90"/>
    </w:pPr>
    <w:rPr>
      <w:color w:val="365F91" w:themeColor="accent4"/>
      <w:sz w:val="18"/>
    </w:rPr>
  </w:style>
  <w:style w:type="paragraph" w:customStyle="1" w:styleId="CalloutBoxBullets">
    <w:name w:val="Callout Box Bullets"/>
    <w:basedOn w:val="Bullets9pt"/>
    <w:qFormat/>
    <w:rsid w:val="00322EFF"/>
    <w:rPr>
      <w:color w:val="365F91" w:themeColor="accent4"/>
    </w:rPr>
  </w:style>
  <w:style w:type="character" w:customStyle="1" w:styleId="CustomizableText">
    <w:name w:val="Customizable Text"/>
    <w:uiPriority w:val="1"/>
    <w:qFormat/>
    <w:rsid w:val="00E24926"/>
    <w:rPr>
      <w:color w:val="FF0000"/>
    </w:rPr>
  </w:style>
  <w:style w:type="table" w:customStyle="1" w:styleId="GADNRGreenTable1">
    <w:name w:val="GA DNR Green Table1"/>
    <w:basedOn w:val="TableNormal"/>
    <w:uiPriority w:val="99"/>
    <w:rsid w:val="00B4749F"/>
    <w:pPr>
      <w:spacing w:after="0" w:line="240" w:lineRule="auto"/>
    </w:pPr>
    <w:tblPr>
      <w:tblStyleRowBandSize w:val="1"/>
      <w:tblBorders>
        <w:top w:val="single" w:sz="4" w:space="0" w:color="7B9451" w:themeColor="accent2"/>
        <w:bottom w:val="single" w:sz="4" w:space="0" w:color="7B9451" w:themeColor="accent2"/>
        <w:insideH w:val="single" w:sz="4" w:space="0" w:color="7B9451" w:themeColor="accent2"/>
        <w:insideV w:val="single" w:sz="4" w:space="0" w:color="7B9451" w:themeColor="accent2"/>
      </w:tblBorders>
      <w:tblCellMar>
        <w:top w:w="86" w:type="dxa"/>
        <w:left w:w="86" w:type="dxa"/>
        <w:bottom w:w="86" w:type="dxa"/>
        <w:right w:w="86" w:type="dxa"/>
      </w:tblCellMar>
    </w:tblPr>
    <w:tblStylePr w:type="firstRow">
      <w:rPr>
        <w:rFonts w:ascii="Corbel" w:hAnsi="Corbel"/>
        <w:b/>
        <w:color w:val="FFFFFF" w:themeColor="background1"/>
        <w:sz w:val="20"/>
      </w:rPr>
      <w:tblPr/>
      <w:tcPr>
        <w:tcBorders>
          <w:insideH w:val="single" w:sz="4" w:space="0" w:color="FFFFFF" w:themeColor="background1"/>
          <w:insideV w:val="single" w:sz="4" w:space="0" w:color="FFFFFF" w:themeColor="background1"/>
        </w:tcBorders>
        <w:shd w:val="clear" w:color="auto" w:fill="7B9451" w:themeFill="accent2"/>
      </w:tcPr>
    </w:tblStylePr>
    <w:tblStylePr w:type="band1Horz">
      <w:tblPr/>
      <w:tcPr>
        <w:shd w:val="clear" w:color="auto" w:fill="E4EBDA" w:themeFill="accent2" w:themeFillTint="33"/>
      </w:tcPr>
    </w:tblStylePr>
  </w:style>
  <w:style w:type="paragraph" w:customStyle="1" w:styleId="TableHeader">
    <w:name w:val="Table Header"/>
    <w:basedOn w:val="TableText"/>
    <w:qFormat/>
    <w:rsid w:val="00B4749F"/>
    <w:pPr>
      <w:spacing w:after="0"/>
    </w:pPr>
    <w:rPr>
      <w:caps/>
      <w:color w:val="FFFFFF" w:themeColor="background1"/>
    </w:rPr>
  </w:style>
  <w:style w:type="paragraph" w:styleId="FootnoteText">
    <w:name w:val="footnote text"/>
    <w:basedOn w:val="Normal"/>
    <w:link w:val="FootnoteTextChar"/>
    <w:uiPriority w:val="99"/>
    <w:semiHidden/>
    <w:unhideWhenUsed/>
    <w:rsid w:val="001845C9"/>
    <w:pPr>
      <w:spacing w:after="0"/>
    </w:pPr>
    <w:rPr>
      <w:szCs w:val="20"/>
    </w:rPr>
  </w:style>
  <w:style w:type="character" w:customStyle="1" w:styleId="FootnoteTextChar">
    <w:name w:val="Footnote Text Char"/>
    <w:basedOn w:val="DefaultParagraphFont"/>
    <w:link w:val="FootnoteText"/>
    <w:uiPriority w:val="99"/>
    <w:semiHidden/>
    <w:rsid w:val="001845C9"/>
    <w:rPr>
      <w:rFonts w:ascii="Corbel" w:hAnsi="Corbel"/>
      <w:szCs w:val="20"/>
    </w:rPr>
  </w:style>
  <w:style w:type="character" w:styleId="FootnoteReference">
    <w:name w:val="footnote reference"/>
    <w:basedOn w:val="DefaultParagraphFont"/>
    <w:uiPriority w:val="99"/>
    <w:semiHidden/>
    <w:unhideWhenUsed/>
    <w:rsid w:val="001845C9"/>
    <w:rPr>
      <w:vertAlign w:val="superscript"/>
    </w:rPr>
  </w:style>
  <w:style w:type="paragraph" w:customStyle="1" w:styleId="Footnote">
    <w:name w:val="Footnote"/>
    <w:basedOn w:val="Normal"/>
    <w:qFormat/>
    <w:rsid w:val="001845C9"/>
    <w:rPr>
      <w:color w:val="7F7F7F" w:themeColor="accent5" w:themeTint="80"/>
      <w:sz w:val="16"/>
      <w:szCs w:val="16"/>
    </w:rPr>
  </w:style>
  <w:style w:type="character" w:styleId="UnresolvedMention">
    <w:name w:val="Unresolved Mention"/>
    <w:basedOn w:val="DefaultParagraphFont"/>
    <w:uiPriority w:val="99"/>
    <w:semiHidden/>
    <w:unhideWhenUsed/>
    <w:rsid w:val="00E57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eorgiadfir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ma.gov/flood-maps/change-your-flood-zone/loma-lomr-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loodSmar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eorgiadfirm.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loodSmart.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A DNR CTP">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E3AC6-448E-46D8-98F9-99C1A34B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Post Preliminary Fact Sheet</vt:lpstr>
    </vt:vector>
  </TitlesOfParts>
  <Company>Bender Consulting Services, Inc.</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Preliminary Fact Sheet</dc:title>
  <dc:subject/>
  <dc:creator>Bruce A Bender</dc:creator>
  <cp:keywords/>
  <dc:description/>
  <cp:lastModifiedBy>Bruce A. Bender</cp:lastModifiedBy>
  <cp:revision>6</cp:revision>
  <cp:lastPrinted>2017-02-16T15:19:00Z</cp:lastPrinted>
  <dcterms:created xsi:type="dcterms:W3CDTF">2024-09-25T20:20:00Z</dcterms:created>
  <dcterms:modified xsi:type="dcterms:W3CDTF">2024-09-25T20:38:00Z</dcterms:modified>
</cp:coreProperties>
</file>